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Részletes indokolás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Csorvás Város Önkormányzatának 2018. évi költségvetéséről szóló 2/2018.(III.12.) önkormányzati rendelet módosításának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tervezetéhez</w:t>
      </w:r>
    </w:p>
    <w:p>
      <w:r/>
    </w:p>
    <w:p>
      <w:r/>
    </w:p>
    <w:p>
      <w:r/>
    </w:p>
    <w:p>
      <w:pPr>
        <w:spacing w:after="120"/>
        <w:rPr>
          <w:b/>
        </w:rPr>
      </w:pPr>
      <w:r>
        <w:rPr>
          <w:b/>
        </w:rPr>
        <w:t>A rendelet-tervezet 1. §-ához</w:t>
      </w:r>
    </w:p>
    <w:p>
      <w:pPr>
        <w:spacing/>
        <w:jc w:val="both"/>
      </w:pPr>
      <w:r>
        <w:t>A rendelet-tervezet 1. § (1) bekezdésében az Önkormányzat 2018. évi költségvetésének bevételi és kiadási főösszegét növeltük meg 76234 ezer Ft-tal. (A 2/2018.(III.12.) önkormányzati rendelet főösszege 1.339.572 ezer Ft-ról 1.415.806 ezer Ft-ra változott).</w:t>
      </w:r>
    </w:p>
    <w:p>
      <w:r/>
    </w:p>
    <w:p>
      <w:pPr>
        <w:spacing w:after="120"/>
        <w:rPr>
          <w:b/>
        </w:rPr>
      </w:pPr>
      <w:r>
        <w:rPr>
          <w:b/>
        </w:rPr>
        <w:t>A rendelet-tervezet 2. §-ához</w:t>
      </w:r>
    </w:p>
    <w:p>
      <w:pPr>
        <w:spacing/>
        <w:jc w:val="both"/>
      </w:pPr>
      <w:r>
        <w:t>A rendelet-tervezet 2. §-a tartalmazza azt, hogy az önkormányzat 2018. évi költségvetéséről szóló rendelete mellékletei a rendelet-tervezet mellékleteinek megfelelően változnak meg, a következők szerint:</w:t>
      </w:r>
    </w:p>
    <w:p>
      <w:pPr>
        <w:spacing w:before="120" w:after="120"/>
        <w:jc w:val="both"/>
      </w:pPr>
      <w:r>
        <w:rPr>
          <w:u w:color="auto" w:val="single"/>
        </w:rPr>
        <w:t>1. melléklet:</w:t>
      </w:r>
      <w:r>
        <w:t xml:space="preserve"> Csorvás Város Önkormányzata összesített bevételei, kiadásai módosítását tartalmazza kötelező, önként vállalt, és igazgatási feladatok szerinti bontásban.</w:t>
      </w:r>
    </w:p>
    <w:p>
      <w:pPr>
        <w:spacing/>
        <w:jc w:val="both"/>
      </w:pPr>
      <w:r>
        <w:rPr>
          <w:u w:color="auto" w:val="single"/>
        </w:rPr>
        <w:t>2. melléklet:</w:t>
      </w:r>
      <w:r>
        <w:t xml:space="preserve"> Az intézményenkénti bevételeket tartalmazza kötelező, önként vállalt, és igazgatási feladatok szerinti bontásban. Csorvás Város Önkormányzata bevétele 65.485 ezer Ft-tal, a Csorvási Polgármesteri Hivatal bevétele 3.810 ezer Ft-tal,  az Egyesített Szociális Intézmény bevétele 6.939 ezer Ft-tal növekedett. A Csorvási Óvoda és Bölcsőde bevétele nem növekedett.</w:t>
      </w:r>
    </w:p>
    <w:p>
      <w:pPr>
        <w:spacing w:before="120" w:after="120"/>
        <w:jc w:val="both"/>
      </w:pPr>
      <w:r>
        <w:rPr>
          <w:u w:color="auto" w:val="single"/>
        </w:rPr>
        <w:t>3. melléklet:</w:t>
      </w:r>
      <w:r>
        <w:t xml:space="preserve"> Az intézményenkénti kiadásokat tartalmazza kötelező, önként vállalt, és igazgatási feladatok szerinti bontásban. Csorvás Város Önkormányzata kiadása 50.811 ezer Ft-tal, a Csorvási Polgármesteri Hivatal kiadása 3.810 ezer Ft-tal, a Csorvási Óvoda és Bölcsőde kiadása 9.082 ezer Ft-tal, az Egyesített Szociális Intézmény kiadása 12.531 ezer Ft-tal növekedett.</w:t>
      </w:r>
    </w:p>
    <w:p>
      <w:pPr>
        <w:spacing/>
        <w:jc w:val="both"/>
        <w:tabs>
          <w:tab w:val="right" w:pos="8504" w:leader="none"/>
        </w:tabs>
      </w:pPr>
      <w:r>
        <w:rPr>
          <w:u w:color="auto" w:val="single"/>
        </w:rPr>
        <w:t>4. melléklet:</w:t>
      </w:r>
      <w:r>
        <w:t xml:space="preserve"> Csorvás Város Önkormányzata bevételeinek kormányzati funkciónkénti változását tartalmazza kötelező, önként vállalt, és igazgatási feladatok szerinti bontásban:</w:t>
      </w:r>
    </w:p>
    <w:p>
      <w:pPr>
        <w:spacing/>
        <w:jc w:val="both"/>
        <w:tabs>
          <w:tab w:val="right" w:pos="8504" w:leader="none"/>
        </w:tabs>
      </w:pPr>
      <w:r>
        <w:t>- Önkormányzat költségvetési támogatása</w:t>
        <w:tab/>
        <w:t>3.815 ezer Ft-tal,</w:t>
      </w:r>
    </w:p>
    <w:p>
      <w:pPr>
        <w:spacing/>
        <w:jc w:val="both"/>
        <w:tabs>
          <w:tab w:val="right" w:pos="8504" w:leader="none"/>
        </w:tabs>
      </w:pPr>
      <w:r>
        <w:t>- Működési és felhalmozási támogatások</w:t>
        <w:tab/>
        <w:t xml:space="preserve">                     21.097 ezer Ft-tal,</w:t>
      </w:r>
    </w:p>
    <w:p>
      <w:pPr>
        <w:spacing/>
        <w:jc w:val="both"/>
        <w:tabs>
          <w:tab w:val="right" w:pos="8504" w:leader="none"/>
        </w:tabs>
      </w:pPr>
      <w:r>
        <w:t>- Közhatalmi bevételek</w:t>
        <w:tab/>
        <w:t>13.060 ezer Ft-tal,</w:t>
      </w:r>
    </w:p>
    <w:p>
      <w:pPr>
        <w:spacing/>
        <w:jc w:val="both"/>
        <w:tabs>
          <w:tab w:val="right" w:pos="8504" w:leader="none"/>
        </w:tabs>
      </w:pPr>
      <w:r>
        <w:t>- Működési bevételek</w:t>
        <w:tab/>
        <w:t>8.557 ezer Ft-tal,</w:t>
      </w:r>
    </w:p>
    <w:p>
      <w:pPr>
        <w:spacing/>
        <w:jc w:val="both"/>
        <w:tabs>
          <w:tab w:val="right" w:pos="8504" w:leader="none"/>
        </w:tabs>
      </w:pPr>
      <w:r>
        <w:t>- Felhalmozási bevétel, felhalmozási kölcsön visszatérülés</w:t>
        <w:tab/>
        <w:t>1.991 ezer Ft-tal,</w:t>
      </w:r>
    </w:p>
    <w:p>
      <w:pPr>
        <w:spacing/>
        <w:jc w:val="both"/>
        <w:tabs>
          <w:tab w:val="right" w:pos="8504" w:leader="none"/>
        </w:tabs>
      </w:pPr>
      <w:r>
        <w:t>- Működési célra átvett pénzeszköz, működési kölcsön visszatérülés</w:t>
        <w:tab/>
        <w:t>51 ezer Ft-tal,</w:t>
      </w:r>
    </w:p>
    <w:p>
      <w:pPr>
        <w:spacing/>
        <w:jc w:val="both"/>
        <w:tabs>
          <w:tab w:val="right" w:pos="8504" w:leader="none"/>
        </w:tabs>
      </w:pPr>
      <w:r>
        <w:t>- Államháztartáson  belüli megelőlegezés</w:t>
        <w:tab/>
        <w:t>16.914 ezer Ft-tal,</w:t>
      </w:r>
    </w:p>
    <w:p>
      <w:r>
        <w:t>emelkedett.</w:t>
      </w:r>
    </w:p>
    <w:p>
      <w:pPr>
        <w:spacing w:before="120"/>
        <w:jc w:val="both"/>
        <w:tabs>
          <w:tab w:val="right" w:pos="8504" w:leader="none"/>
        </w:tabs>
      </w:pPr>
      <w:r>
        <w:rPr>
          <w:u w:color="auto" w:val="single"/>
        </w:rPr>
        <w:t>5. melléklet:</w:t>
      </w:r>
      <w:r>
        <w:t xml:space="preserve"> Csorvás Város Önkormányzata kiadásainak kormányzati funkciónkénti változását tartalmazza kötelező, önként vállalt, és igazgatási feladatok szerinti bontásban:</w:t>
      </w:r>
    </w:p>
    <w:p>
      <w:pPr>
        <w:spacing w:before="120"/>
        <w:jc w:val="both"/>
        <w:tabs>
          <w:tab w:val="right" w:pos="8504" w:leader="none"/>
        </w:tabs>
      </w:pPr>
      <w:r>
        <w:t xml:space="preserve">- Személyi juttatások </w:t>
        <w:tab/>
        <w:t>9.480 ezer Ft-tal,</w:t>
      </w:r>
    </w:p>
    <w:p>
      <w:pPr>
        <w:tabs>
          <w:tab w:val="right" w:pos="8504" w:leader="none"/>
        </w:tabs>
      </w:pPr>
      <w:r>
        <w:t xml:space="preserve">- Munkaadókat terhelő járulékok </w:t>
        <w:tab/>
        <w:t xml:space="preserve"> 430 ezer Ft-tal,</w:t>
      </w:r>
    </w:p>
    <w:p>
      <w:pPr>
        <w:tabs>
          <w:tab w:val="right" w:pos="8504" w:leader="none"/>
        </w:tabs>
      </w:pPr>
      <w:r>
        <w:t>- Dologi kiadások</w:t>
        <w:tab/>
        <w:t xml:space="preserve">    20.976 ezer Ft-tal,</w:t>
      </w:r>
    </w:p>
    <w:p>
      <w:pPr>
        <w:tabs>
          <w:tab w:val="right" w:pos="8504" w:leader="none"/>
        </w:tabs>
      </w:pPr>
      <w:r>
        <w:t>- Ellátottak pénzbeli juttatásai</w:t>
        <w:tab/>
        <w:t>1.357 ezer Ft-tal,</w:t>
      </w:r>
    </w:p>
    <w:p>
      <w:pPr>
        <w:tabs>
          <w:tab w:val="right" w:pos="8498" w:leader="none"/>
        </w:tabs>
      </w:pPr>
      <w:r>
        <w:t xml:space="preserve">- Egyéb működési kiadások                                                                       </w:t>
        <w:tab/>
        <w:t xml:space="preserve">- 205 ezer Ft-tal, </w:t>
      </w:r>
    </w:p>
    <w:p>
      <w:pPr>
        <w:tabs>
          <w:tab w:val="right" w:pos="8504" w:leader="none"/>
        </w:tabs>
      </w:pPr>
      <w:r>
        <w:t>- Beruházási kiadások</w:t>
        <w:tab/>
        <w:t>1.859 ezer Ft-tal,</w:t>
      </w:r>
    </w:p>
    <w:p>
      <w:pPr>
        <w:tabs>
          <w:tab w:val="right" w:pos="8504" w:leader="none"/>
        </w:tabs>
      </w:pPr>
      <w:r>
        <w:t>- Államháztartzáson belüli megelőlegezués</w:t>
        <w:tab/>
        <w:t>16.914 ezer Ft-tal,</w:t>
      </w:r>
    </w:p>
    <w:p>
      <w:r>
        <w:t>változott.</w:t>
      </w:r>
    </w:p>
    <w:p>
      <w:pPr>
        <w:spacing w:before="120" w:after="120"/>
        <w:jc w:val="both"/>
      </w:pPr>
      <w:r>
        <w:rPr>
          <w:u w:color="auto" w:val="single"/>
        </w:rPr>
        <w:t>6. melléklet:</w:t>
      </w:r>
      <w:r>
        <w:t xml:space="preserve"> A Csorvási Polgármesteri Hivatal bevételeinek és kiadásainak kormányzati funkciónkénti változását tartalmazza kötelező, önként vállalt, és igazgatási feladatok szerinti bontásban.</w:t>
      </w:r>
    </w:p>
    <w:p>
      <w:pPr>
        <w:spacing w:before="120" w:after="120"/>
        <w:jc w:val="both"/>
      </w:pPr>
      <w:r>
        <w:rPr>
          <w:u w:color="auto" w:val="single"/>
        </w:rPr>
        <w:t>Bevételek</w:t>
      </w:r>
      <w:r>
        <w:t>: A működési bevétele 3.810 ezer Ft-tal növekedett.</w:t>
      </w:r>
    </w:p>
    <w:p>
      <w:pPr>
        <w:spacing w:before="120" w:after="120"/>
        <w:jc w:val="both"/>
      </w:pPr>
      <w:r>
        <w:rPr>
          <w:u w:color="auto" w:val="single"/>
        </w:rPr>
        <w:t>Kiadások:</w:t>
      </w:r>
      <w:r>
        <w:t xml:space="preserve"> A személyi juttatások 3.343 ezer Ft-tal, a munkaadókat terhelő járulékok 532 ezer Ft-tal, a beruházások 159 ezer Ft-tal növekedtek, a dologi kiadások 224 ezer Ft-tal csökkentek..</w:t>
      </w:r>
    </w:p>
    <w:p>
      <w:pPr>
        <w:spacing/>
        <w:jc w:val="both"/>
      </w:pPr>
      <w:r>
        <w:rPr>
          <w:u w:color="auto" w:val="single"/>
        </w:rPr>
        <w:t>7. melléklet:</w:t>
      </w:r>
      <w:r>
        <w:t xml:space="preserve"> A Csorvási Óvoda és Bölcsőde bevételeinek és kiadásainak kormányzati funkciónkénti változását tartalmazza kötelező, önként vállalt, és igazgatási feladatok szerinti bontásban.</w:t>
      </w:r>
    </w:p>
    <w:p>
      <w:pPr>
        <w:spacing w:before="120" w:after="120"/>
        <w:jc w:val="both"/>
      </w:pPr>
      <w:r>
        <w:rPr>
          <w:u w:color="auto" w:val="single"/>
        </w:rPr>
        <w:t>Bevételek:</w:t>
      </w:r>
      <w:r>
        <w:t xml:space="preserve"> A bevétel nem növekedett.</w:t>
      </w:r>
    </w:p>
    <w:p>
      <w:pPr>
        <w:spacing w:before="120" w:after="120"/>
        <w:jc w:val="both"/>
      </w:pPr>
      <w:r>
        <w:rPr>
          <w:u w:color="auto" w:val="single"/>
        </w:rPr>
        <w:t>Kiadások:</w:t>
      </w:r>
      <w:r>
        <w:t xml:space="preserve"> A személyi juttatások 673 ezer Ft-tal, a dologi kiadások 768 ezer Ft-tal, a beruházások 7.669 ezer Ft-tal  növekedtek, a munkaadókat terhelő járulékok 28 ezer Ft-tal csökkentek..</w:t>
      </w:r>
    </w:p>
    <w:p>
      <w:pPr>
        <w:spacing/>
        <w:jc w:val="both"/>
      </w:pPr>
      <w:r>
        <w:rPr>
          <w:u w:color="auto" w:val="single"/>
        </w:rPr>
        <w:t>8. melléklet:</w:t>
      </w:r>
      <w:r>
        <w:t xml:space="preserve"> Az Egyesített Szociális Intézmény bevételeinek és kiadásainak kormányzati funkciónkénti változását tartalmazza kötelező, önként vállalt, és igazgatási feladatok szerinti bontásban.</w:t>
      </w:r>
    </w:p>
    <w:p>
      <w:pPr>
        <w:spacing w:before="120" w:after="120"/>
        <w:jc w:val="both"/>
      </w:pPr>
      <w:r>
        <w:rPr>
          <w:u w:color="auto" w:val="single"/>
        </w:rPr>
        <w:t>Bevételek:</w:t>
      </w:r>
      <w:r>
        <w:t xml:space="preserve"> A működési célú támogatások államháztartáson belülről bevétele 155 ezer Ft-tal, a működési célú átvett pénzeszközök 939 ezer Ft-tal, a szolgáltatások 530 ezer Ft-tal, az ellátási díjak 5.115 ezer Ft-tal, a kiszámlázott általános forgalmi adó 200 ezer Ft-tal növekedett.</w:t>
      </w:r>
    </w:p>
    <w:p>
      <w:pPr>
        <w:spacing w:before="120" w:after="120"/>
        <w:jc w:val="both"/>
      </w:pPr>
      <w:r>
        <w:rPr>
          <w:u w:color="auto" w:val="single"/>
        </w:rPr>
        <w:t>Kiadások:</w:t>
      </w:r>
      <w:r>
        <w:t xml:space="preserve"> A személyi juttatások 2.552 ezer Ft-tal, a munkaadókat terhelő járulékok 809 ezer Ft-tal, a dologi kiadások 2.975 ezer Ft-tal, a beruházási kiadások 5.837 ezer Ft-tal, a felújítási kiadások 358 ezer Ft-tal növekedtek. </w:t>
      </w:r>
    </w:p>
    <w:p>
      <w:pPr>
        <w:spacing w:before="120" w:after="120"/>
        <w:jc w:val="both"/>
      </w:pPr>
      <w:r>
        <w:rPr>
          <w:u w:color="auto" w:val="single"/>
        </w:rPr>
        <w:t>9. melléklet:</w:t>
      </w:r>
      <w:r>
        <w:t xml:space="preserve"> Az Önkormányzat 2018. évi működési célú pénzeszköz átadásait tartalmazza államháztartáson belülre és kívülre. Ez a melléklet tartalmazza a közvetett támogatásokat is. </w:t>
      </w:r>
    </w:p>
    <w:p>
      <w:pPr>
        <w:spacing w:before="120" w:after="120"/>
        <w:jc w:val="both"/>
      </w:pPr>
      <w:r>
        <w:rPr>
          <w:u w:color="auto" w:val="single"/>
        </w:rPr>
        <w:t>10. melléklet:</w:t>
      </w:r>
      <w:r>
        <w:t xml:space="preserve"> A rendelet-tervezet 1. § (1) bekezdésében megjelölt 76.234 ezer Ft-os változást az önkormányzati mérlegben is át kellett vezetni, működési és felhalmozási bevételek és kiadások tekintetében. </w:t>
      </w:r>
    </w:p>
    <w:p>
      <w:pPr>
        <w:spacing w:before="120" w:after="120"/>
        <w:jc w:val="both"/>
      </w:pPr>
      <w:r>
        <w:rPr>
          <w:u w:color="auto" w:val="single"/>
        </w:rPr>
        <w:t>11. meléklet:</w:t>
      </w:r>
      <w:r>
        <w:t xml:space="preserve"> A rendelet-tervezet 5. §-a tartalmazza az Önkormányzat és z Önkormányzat felüggyelete alá tartozó költségvetési intézmények beruházási és felújítási kiadásait. </w:t>
      </w:r>
    </w:p>
    <w:p>
      <w:pPr>
        <w:spacing w:before="120"/>
        <w:jc w:val="both"/>
      </w:pPr>
      <w:r>
        <w:rPr>
          <w:u w:color="auto" w:val="single"/>
        </w:rPr>
        <w:t>12. melléklet:</w:t>
      </w:r>
      <w:r>
        <w:t xml:space="preserve"> A rendelet-tervezet 1. § (1) bekezdésében megjelölt 76.234 ezer Ft-os változást az előirányzat-felhasználási ütemtervben is át kellett vezetni.</w:t>
      </w:r>
    </w:p>
    <w:p>
      <w:pPr>
        <w:spacing w:before="120" w:after="120"/>
        <w:jc w:val="both"/>
      </w:pPr>
      <w:r>
        <w:rPr>
          <w:u w:color="auto" w:val="single"/>
        </w:rPr>
        <w:t>13. melléklet:</w:t>
      </w:r>
      <w:r>
        <w:t xml:space="preserve"> A rendelet-tervezet 1. § (1) bekezdésében megjelölt76.234 ezer Ft-os változást a likviditási terven is át kellett vezetni.</w:t>
      </w:r>
    </w:p>
    <w:p>
      <w:pPr>
        <w:spacing w:after="120"/>
        <w:rPr>
          <w:b/>
        </w:rPr>
      </w:pPr>
      <w:r>
        <w:rPr>
          <w:b/>
        </w:rPr>
        <w:t>A rendelet-tervezet 3. §-ához</w:t>
      </w:r>
    </w:p>
    <w:p>
      <w:pPr>
        <w:spacing w:after="120"/>
      </w:pPr>
      <w:r>
        <w:t>A rendelet-tervezet 3. §-a a hatályba léptető rendelkezést tartalmazza.</w:t>
      </w:r>
    </w:p>
    <w:p>
      <w:pPr>
        <w:spacing w:before="120" w:after="120"/>
        <w:jc w:val="both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headerReference w:type="first" r:id="rId9"/>
      <w:footerReference w:type="first" r:id="rId10"/>
      <w:type w:val="nextPage"/>
      <w:pgSz w:h="16838" w:w="11906"/>
      <w:pgMar w:left="1417" w:top="1417" w:right="1417" w:bottom="1417" w:header="708" w:footer="709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  <w:tmFooter w:id="0" w:h="0" edge="709" text="0">
          <w:shd w:val="none"/>
        </w:tmFooter>
        <w:tmHeader w:id="2" w:h="0" edge="708" text="0">
          <w:shd w:val="none"/>
        </w:tmHeader>
        <w:tmFooter w:id="2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egoe UI">
    <w:panose1 w:val="020B0502040204020203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Szövegdobo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sNRv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DnFgAAxQI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"/>
                            <w:rPr>
                              <w:rStyle w:val="char1"/>
                            </w:rPr>
                          </w:pPr>
                          <w:r>
                            <w:rPr>
                              <w:rStyle w:val="char1"/>
                            </w:rPr>
                          </w:r>
                          <w:r>
                            <w:rPr>
                              <w:rStyle w:val="char1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rStyle w:val="char1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Szövegdoboz1" o:spid="_x0000_s2049" type="#_x0000_t202" style="position:absolute;mso-position-horizontal:center;margin-top:0.05pt;mso-position-horizontal-relative:margin;width:9.00pt;height:13.80pt;z-index:251658241;mso-wrap-distance-left:0.00pt;mso-wrap-distance-top:0.00pt;mso-wrap-distance-right:0.00pt;mso-wrap-distance-bottom:0.00pt;mso-wrap-style:square" stroked="f" filled="f" v:ext="SMDATA_14_sNRv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DnFgAAxQI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"/>
                      <w:rPr>
                        <w:rStyle w:val="char1"/>
                      </w:rPr>
                    </w:pPr>
                    <w:r>
                      <w:rPr>
                        <w:rStyle w:val="char1"/>
                      </w:rPr>
                    </w:r>
                    <w:r>
                      <w:rPr>
                        <w:rStyle w:val="char1"/>
                      </w:rP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>
                      <w:rPr>
                        <w:rStyle w:val="char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1"/>
    <w:tmLastPosFrameIdx w:val="0"/>
    <w:tmLastPosCaret>
      <w:tmLastPosPgfIdx w:val="45"/>
      <w:tmLastPosIdx w:val="13"/>
    </w:tmLastPosCaret>
    <w:tmLastPosAnchor>
      <w:tmLastPosPgfIdx w:val="45"/>
      <w:tmLastPosIdx w:val="0"/>
    </w:tmLastPosAnchor>
    <w:tmLastPosTblRect w:left="0" w:top="0" w:right="0" w:bottom="0"/>
  </w:tmLastPos>
  <w:tmAppRevision w:date="1550832816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Page Number"/>
  </w:style>
  <w:style w:type="character" w:styleId="char2" w:customStyle="1">
    <w:name w:val=" Char Char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Page Number"/>
  </w:style>
  <w:style w:type="character" w:styleId="char2" w:customStyle="1">
    <w:name w:val=" Char Cha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Részletes indokolás</dc:title>
  <dc:subject/>
  <dc:creator>Zakalne</dc:creator>
  <cp:keywords/>
  <dc:description/>
  <cp:lastModifiedBy/>
  <cp:revision>7</cp:revision>
  <cp:lastPrinted>2018-03-12T15:12:00Z</cp:lastPrinted>
  <dcterms:created xsi:type="dcterms:W3CDTF">2018-06-20T20:31:00Z</dcterms:created>
  <dcterms:modified xsi:type="dcterms:W3CDTF">2019-02-22T10:53:36Z</dcterms:modified>
</cp:coreProperties>
</file>