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sz w:val="32"/>
          <w:szCs w:val="32"/>
        </w:rPr>
      </w:pPr>
      <w:r>
        <w:rPr>
          <w:sz w:val="32"/>
          <w:szCs w:val="32"/>
        </w:rPr>
        <w:t>Az Önkormányzat 2018. évi EGYSZERŰSÍTETT MÉRLEGE</w:t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ind w:left="9204" w:firstLine="708"/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Adatok: ezer Ft</w:t>
      </w:r>
      <w:r/>
    </w:p>
    <w:tbl>
      <w:tblPr>
        <w:name w:val="Táblázat1"/>
        <w:tabOrder w:val="0"/>
        <w:jc w:val="left"/>
        <w:tblInd w:w="1176" w:type="dxa"/>
        <w:tblW w:w="11667" w:type="dxa"/>
      </w:tblPr>
      <w:tblGrid>
        <w:gridCol w:w="648"/>
        <w:gridCol w:w="3779"/>
        <w:gridCol w:w="3628"/>
        <w:gridCol w:w="3612"/>
      </w:tblGrid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C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Megnevezés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Előző évi költségvetési beszámoló záró adatai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  <w:bCs/>
                <w:sz w:val="28"/>
                <w:szCs w:val="28"/>
              </w:rPr>
              <w:t>Tárgyévi költségvetési beszámoló záró adatai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b/>
              </w:rPr>
              <w:t>Eszközök</w:t>
            </w:r>
            <w:r/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/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  <w:u w:color="auto" w:val="single"/>
              </w:rPr>
            </w:pPr>
            <w:r>
              <w:rPr>
                <w:b/>
              </w:rPr>
              <w:t>3.</w:t>
            </w:r>
            <w:r>
              <w:rPr>
                <w:i/>
                <w:u w:color="auto" w:val="single"/>
              </w:rPr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  <w:u w:color="auto" w:val="single"/>
              </w:rPr>
              <w:t>A./ Nemzeti vagyonba tartozó befektetett eszközök</w:t>
            </w:r>
            <w:r/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5.794.400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5.798.155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4.</w:t>
            </w: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1. Immateriális javak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1.410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931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5.</w:t>
            </w: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2. Tárgyi eszközök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5.768.187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5.781.952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6.</w:t>
            </w: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3. Befektetett pénzügyi eszközök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24.803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15.272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7.</w:t>
            </w: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4. Üzemeltetésre, kezelésre átadott eszközök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0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0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  <w:u w:color="auto" w:val="single"/>
              </w:rPr>
            </w:pPr>
            <w:r>
              <w:rPr>
                <w:b/>
              </w:rPr>
              <w:t>8.</w:t>
            </w:r>
            <w:r>
              <w:rPr>
                <w:i/>
                <w:u w:color="auto" w:val="single"/>
              </w:rPr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  <w:u w:color="auto" w:val="single"/>
              </w:rPr>
              <w:t>B./Nemzeti vagyonba tartozó forgóeszközök</w:t>
            </w:r>
            <w:r/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2.043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1.331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9.</w:t>
            </w: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1. Készletek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2.041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1.329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10.</w:t>
            </w:r>
            <w:r/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2. Értékpapírok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2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2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</w:rPr>
            </w:pPr>
            <w:r>
              <w:rPr>
                <w:b/>
              </w:rPr>
              <w:t>11.</w:t>
            </w:r>
            <w:r>
              <w:rPr>
                <w:i/>
              </w:rPr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</w:rPr>
              <w:t>C./ Pénzeszközök</w:t>
            </w:r>
            <w:r/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386.997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315.026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</w:rPr>
            </w:pPr>
            <w:r>
              <w:rPr>
                <w:b/>
              </w:rPr>
              <w:t>12.</w:t>
            </w:r>
            <w:r>
              <w:rPr>
                <w:i/>
              </w:rPr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</w:rPr>
              <w:t>D./ Követelések</w:t>
            </w:r>
            <w:r/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34.675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78.199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</w:rPr>
            </w:pPr>
            <w:r>
              <w:rPr>
                <w:b/>
              </w:rPr>
              <w:t>13.</w:t>
            </w:r>
            <w:r>
              <w:rPr>
                <w:i/>
              </w:rPr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</w:rPr>
              <w:t>E./ Egyéb sajátos eszközoldali elszámolások</w:t>
            </w:r>
            <w:r/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</w:pPr>
            <w:r>
              <w:t>-1.463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-4.896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77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rPr>
                <w:b/>
              </w:rPr>
            </w:pPr>
            <w:r>
              <w:rPr>
                <w:b/>
              </w:rPr>
              <w:t>Eszközök összesen:</w:t>
            </w:r>
          </w:p>
        </w:tc>
        <w:tc>
          <w:tcPr>
            <w:tcW w:w="362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ind w:left="-74"/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6.216.652</w:t>
            </w:r>
          </w:p>
        </w:tc>
        <w:tc>
          <w:tcPr>
            <w:tcW w:w="361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6.187.815</w:t>
            </w:r>
          </w:p>
        </w:tc>
      </w:tr>
    </w:tbl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pPr>
        <w:spacing/>
        <w:jc w:val="center"/>
      </w:pPr>
      <w:r>
        <w:t>2. oldal</w:t>
      </w:r>
    </w:p>
    <w:p>
      <w:r/>
    </w:p>
    <w:p>
      <w:pPr>
        <w:spacing/>
        <w:jc w:val="center"/>
      </w:pPr>
      <w:r/>
    </w:p>
    <w:p>
      <w:r/>
    </w:p>
    <w:tbl>
      <w:tblPr>
        <w:name w:val="Táblázat2"/>
        <w:tabOrder w:val="0"/>
        <w:jc w:val="left"/>
        <w:tblInd w:w="1176" w:type="dxa"/>
        <w:tblW w:w="11667" w:type="dxa"/>
      </w:tblPr>
      <w:tblGrid>
        <w:gridCol w:w="648"/>
        <w:gridCol w:w="4664"/>
        <w:gridCol w:w="3099"/>
        <w:gridCol w:w="3256"/>
      </w:tblGrid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4" w:space="0" w:color="000000" tmln="1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C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15.</w:t>
            </w:r>
            <w:r>
              <w:rPr>
                <w:b/>
                <w:bCs/>
                <w:sz w:val="28"/>
                <w:szCs w:val="28"/>
              </w:rPr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Megnevezés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Előző évi költségvetési beszámoló záró adatai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  <w:bCs/>
                <w:sz w:val="28"/>
                <w:szCs w:val="28"/>
              </w:rPr>
              <w:t>Tárgyévi költségvetési beszámoló záró adatai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b/>
              </w:rPr>
              <w:t>Források</w:t>
            </w:r>
            <w:r/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/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  <w:u w:color="auto" w:val="single"/>
              </w:rPr>
            </w:pPr>
            <w:r>
              <w:rPr>
                <w:b/>
              </w:rPr>
              <w:t>17.</w:t>
            </w:r>
            <w:r>
              <w:rPr>
                <w:i/>
                <w:u w:color="auto" w:val="single"/>
              </w:rPr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  <w:u w:color="auto" w:val="single"/>
              </w:rPr>
              <w:t>G./ Saját tőke</w:t>
            </w:r>
            <w:r/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6.126.560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5.985.713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18.</w:t>
            </w:r>
            <w:r/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1. Nemzeti vagyon és egyéb eszközök induláskori értéke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8.202.626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8.202.626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19.</w:t>
            </w:r>
            <w:r/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2. Egyéb eszközök induláskori értéke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-20.257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-20.257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20.</w:t>
            </w:r>
            <w:r/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3. Felhalmozott eredmény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-2.161.384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-2.055.809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rPr>
                <w:b/>
              </w:rPr>
              <w:t>21.</w:t>
            </w:r>
            <w:r/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t>4. Mérleg szerinti eredmény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105.575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-140.847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  <w:u w:color="auto" w:val="single"/>
              </w:rPr>
            </w:pPr>
            <w:r>
              <w:rPr>
                <w:b/>
              </w:rPr>
              <w:t>22.</w:t>
            </w:r>
            <w:r>
              <w:rPr>
                <w:i/>
                <w:u w:color="auto" w:val="single"/>
              </w:rPr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  <w:u w:color="auto" w:val="single"/>
              </w:rPr>
              <w:t>H./ Kötelezettségek</w:t>
            </w:r>
            <w:r/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51.715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45.127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i/>
              </w:rPr>
            </w:pPr>
            <w:r>
              <w:rPr>
                <w:b/>
              </w:rPr>
              <w:t>23.</w:t>
            </w:r>
            <w:r>
              <w:rPr>
                <w:i/>
              </w:rPr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r>
              <w:rPr>
                <w:i/>
              </w:rPr>
              <w:t>J./ Passzív időbeli elhatárolás</w:t>
            </w:r>
            <w:r/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38.377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</w:pPr>
            <w:r>
              <w:t>156.975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466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rPr>
                <w:b/>
              </w:rPr>
            </w:pPr>
            <w:r>
              <w:rPr>
                <w:b/>
              </w:rPr>
              <w:t>Források összesen:</w:t>
            </w:r>
          </w:p>
        </w:tc>
        <w:tc>
          <w:tcPr>
            <w:tcW w:w="309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6.216.652</w:t>
            </w:r>
          </w:p>
        </w:tc>
        <w:tc>
          <w:tcPr>
            <w:tcW w:w="325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6542560" protected="1"/>
          </w:tcPr>
          <w:p>
            <w:pPr>
              <w: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6.187.815</w:t>
            </w:r>
          </w:p>
        </w:tc>
      </w:tr>
    </w:tbl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1906" w:w="16838" w:orient="landscape"/>
      <w:pgMar w:left="1418" w:top="1134" w:right="1418" w:bottom="1134" w:header="709"/>
      <w:paperSrc w:first="0" w:other="0"/>
      <w:pgNumType w:fmt="decimal"/>
      <w:tmGutter w:val="3"/>
      <w:mirrorMargins w:val="0"/>
      <w:tmSection w:h="-2">
        <w:tmHeader w:id="0" w:h="0" edge="709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7"/>
      <w:spacing/>
      <w:jc w:val="center"/>
    </w:pPr>
    <w:r>
      <w:t>14. melléklet az önkormányzat 2018. évi zárszámadásáról szóló …./2019.(….) önkormányzati rendelethez</w:t>
    </w:r>
  </w:p>
  <w:p>
    <w:pPr>
      <w:pStyle w:val="para7"/>
      <w:spacing/>
      <w:jc w:val="center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2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1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56542560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 w:before="240" w:after="60"/>
      <w:keepNext/>
      <w:outlineLvl w:val="0"/>
      <w:tabs>
        <w:tab w:val="left" w:pos="0" w:leader="none"/>
      </w:tabs>
    </w:pPr>
    <w:rPr>
      <w:rFonts w:ascii="Arial" w:hAnsi="Arial" w:cs="Arial"/>
      <w:b/>
      <w:sz w:val="32"/>
      <w:szCs w:val="32"/>
    </w:rPr>
  </w:style>
  <w:style w:type="paragraph" w:styleId="para2" w:customStyle="1">
    <w:name w:val="Címsor"/>
    <w:qFormat/>
    <w:basedOn w:val="para0"/>
    <w:next w:val="para3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3">
    <w:name w:val="Body Text"/>
    <w:qFormat/>
    <w:basedOn w:val="para0"/>
    <w:pPr>
      <w:spacing w:after="120"/>
    </w:pPr>
  </w:style>
  <w:style w:type="paragraph" w:styleId="para4">
    <w:name w:val="List"/>
    <w:qFormat/>
    <w:basedOn w:val="para3"/>
    <w:rPr>
      <w:rFonts w:cs="Mangal"/>
    </w:rPr>
  </w:style>
  <w:style w:type="paragraph" w:styleId="para5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6" w:customStyle="1">
    <w:name w:val="Tárgymutató"/>
    <w:qFormat/>
    <w:basedOn w:val="para0"/>
    <w:rPr>
      <w:rFonts w:cs="Mangal"/>
    </w:rPr>
  </w:style>
  <w:style w:type="paragraph" w:styleId="para7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8">
    <w:name w:val="Foot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9" w:customStyle="1">
    <w:name w:val="Táblázattartalom"/>
    <w:qFormat/>
    <w:basedOn w:val="para0"/>
  </w:style>
  <w:style w:type="paragraph" w:styleId="para10" w:customStyle="1">
    <w:name w:val="Táblázatfejléc"/>
    <w:qFormat/>
    <w:basedOn w:val="para9"/>
    <w:pPr>
      <w:spacing/>
      <w:jc w:val="center"/>
    </w:pPr>
    <w:rPr>
      <w:b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Default Paragraph Font*"/>
  </w:style>
  <w:style w:type="character" w:styleId="char20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 w:before="240" w:after="60"/>
      <w:keepNext/>
      <w:outlineLvl w:val="0"/>
      <w:tabs>
        <w:tab w:val="left" w:pos="0" w:leader="none"/>
      </w:tabs>
    </w:pPr>
    <w:rPr>
      <w:rFonts w:ascii="Arial" w:hAnsi="Arial" w:cs="Arial"/>
      <w:b/>
      <w:sz w:val="32"/>
      <w:szCs w:val="32"/>
    </w:rPr>
  </w:style>
  <w:style w:type="paragraph" w:styleId="para2" w:customStyle="1">
    <w:name w:val="Címsor"/>
    <w:qFormat/>
    <w:basedOn w:val="para0"/>
    <w:next w:val="para3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3">
    <w:name w:val="Body Text"/>
    <w:qFormat/>
    <w:basedOn w:val="para0"/>
    <w:pPr>
      <w:spacing w:after="120"/>
    </w:pPr>
  </w:style>
  <w:style w:type="paragraph" w:styleId="para4">
    <w:name w:val="List"/>
    <w:qFormat/>
    <w:basedOn w:val="para3"/>
    <w:rPr>
      <w:rFonts w:cs="Mangal"/>
    </w:rPr>
  </w:style>
  <w:style w:type="paragraph" w:styleId="para5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6" w:customStyle="1">
    <w:name w:val="Tárgymutató"/>
    <w:qFormat/>
    <w:basedOn w:val="para0"/>
    <w:rPr>
      <w:rFonts w:cs="Mangal"/>
    </w:rPr>
  </w:style>
  <w:style w:type="paragraph" w:styleId="para7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8">
    <w:name w:val="Foot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9" w:customStyle="1">
    <w:name w:val="Táblázattartalom"/>
    <w:qFormat/>
    <w:basedOn w:val="para0"/>
  </w:style>
  <w:style w:type="paragraph" w:styleId="para10" w:customStyle="1">
    <w:name w:val="Táblázatfejléc"/>
    <w:qFormat/>
    <w:basedOn w:val="para9"/>
    <w:pPr>
      <w:spacing/>
      <w:jc w:val="center"/>
    </w:pPr>
    <w:rPr>
      <w:b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</w:style>
  <w:style w:type="character" w:styleId="char11" w:customStyle="1">
    <w:name w:val="WW8Num2z1"/>
  </w:style>
  <w:style w:type="character" w:styleId="char12" w:customStyle="1">
    <w:name w:val="WW8Num2z2"/>
  </w:style>
  <w:style w:type="character" w:styleId="char13" w:customStyle="1">
    <w:name w:val="WW8Num2z3"/>
  </w:style>
  <w:style w:type="character" w:styleId="char14" w:customStyle="1">
    <w:name w:val="WW8Num2z4"/>
  </w:style>
  <w:style w:type="character" w:styleId="char15" w:customStyle="1">
    <w:name w:val="WW8Num2z5"/>
  </w:style>
  <w:style w:type="character" w:styleId="char16" w:customStyle="1">
    <w:name w:val="WW8Num2z6"/>
  </w:style>
  <w:style w:type="character" w:styleId="char17" w:customStyle="1">
    <w:name w:val="WW8Num2z7"/>
  </w:style>
  <w:style w:type="character" w:styleId="char18" w:customStyle="1">
    <w:name w:val="WW8Num2z8"/>
  </w:style>
  <w:style w:type="character" w:styleId="char19" w:customStyle="1">
    <w:name w:val="Default Paragraph Font*"/>
  </w:style>
  <w:style w:type="character" w:styleId="char20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</dc:title>
  <dc:subject/>
  <dc:creator>Polgármesteri Hiv. Csorvás</dc:creator>
  <cp:keywords/>
  <dc:description/>
  <cp:lastModifiedBy>Erika</cp:lastModifiedBy>
  <cp:revision>10</cp:revision>
  <cp:lastPrinted>2019-04-29T12:55:00Z</cp:lastPrinted>
  <dcterms:created xsi:type="dcterms:W3CDTF">2018-05-19T04:10:00Z</dcterms:created>
  <dcterms:modified xsi:type="dcterms:W3CDTF">2019-04-29T12:56:00Z</dcterms:modified>
</cp:coreProperties>
</file>