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HATÁSVIZSGÁLAT</w:t>
      </w:r>
    </w:p>
    <w:p>
      <w:pPr>
        <w:spacing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</w:r>
    </w:p>
    <w:p>
      <w:pPr>
        <w:rPr>
          <w:b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>A jogalkotásról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szóló 2010. évi CXXX. törvény (a továbbiakban: Jat) 17. §-a szerint</w:t>
      </w:r>
      <w:r>
        <w:rPr>
          <w:b/>
          <w:sz w:val="22"/>
          <w:szCs w:val="22"/>
          <w:lang w:eastAsia="en-us"/>
        </w:rPr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„</w:t>
      </w:r>
      <w:r>
        <w:rPr>
          <w:b/>
          <w:sz w:val="22"/>
          <w:szCs w:val="22"/>
          <w:lang w:eastAsia="en-us"/>
        </w:rPr>
        <w:t>17. §</w:t>
      </w:r>
      <w:r>
        <w:rPr>
          <w:sz w:val="22"/>
          <w:szCs w:val="22"/>
          <w:lang w:eastAsia="en-us"/>
        </w:rPr>
        <w:t xml:space="preserve"> (1)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(2) A hatásvizsgálat során vizsgálni kell</w:t>
      </w:r>
    </w:p>
    <w:p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a) a tervezett jogszabály valamennyi jelentősnek ítélt hatását, különösen </w:t>
      </w:r>
    </w:p>
    <w:p>
      <w:pPr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aa) társadalmi, gazdasági, költségvetési hatásait,</w:t>
      </w:r>
    </w:p>
    <w:p>
      <w:pPr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ab) környezeti és egészségi következményeit,</w:t>
      </w:r>
    </w:p>
    <w:p>
      <w:pPr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ac) adminisztratív terheket befolyásoló hatásait, valamint</w:t>
      </w:r>
    </w:p>
    <w:p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b) a jogszabály megalkotásának szükségességét, a jogalkotás elmaradásának várható következményeit, c) a jogszabály alkalmazásához szükséges személyi, szervezeti, tárgyi és pénzügyi feltételeket”.</w:t>
      </w:r>
    </w:p>
    <w:p>
      <w:pPr>
        <w:rPr>
          <w:color w:val="339966"/>
          <w:sz w:val="22"/>
          <w:szCs w:val="22"/>
          <w:lang w:eastAsia="en-us"/>
        </w:rPr>
      </w:pPr>
      <w:r>
        <w:rPr>
          <w:color w:val="339966"/>
          <w:sz w:val="22"/>
          <w:szCs w:val="22"/>
          <w:lang w:eastAsia="en-us"/>
        </w:rPr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A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>Csorvás Város Önkormányzata 2018. évi költségvetéséről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  <w:lang w:eastAsia="en-us"/>
        </w:rPr>
        <w:t>szóló 2/2018.(III.12.) önkormányzati rendeletét módosító rendelet-tervezetben foglaltak várható hatásai – a Jat. 17. § (2) bekezdésben foglalt elvárások tükrében – az alábbiak szerint összegezhetőek:</w:t>
      </w:r>
    </w:p>
    <w:p>
      <w:pPr>
        <w:rPr>
          <w:color w:val="339966"/>
          <w:sz w:val="22"/>
          <w:szCs w:val="22"/>
          <w:lang w:eastAsia="en-us"/>
        </w:rPr>
      </w:pPr>
      <w:r>
        <w:rPr>
          <w:color w:val="339966"/>
          <w:sz w:val="22"/>
          <w:szCs w:val="22"/>
          <w:lang w:eastAsia="en-us"/>
        </w:rPr>
      </w:r>
    </w:p>
    <w:p>
      <w:pPr>
        <w: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Előzetes hatásvizsgálat</w:t>
      </w:r>
    </w:p>
    <w:p>
      <w:pPr>
        <w: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társadalmi hatásai</w:t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költségvetési rendelet alapján végrehajtott gazdálkodás az állampolgárok számára nyomon követhető, átfogó képet ad az önkormányzat pénzügyi helyzetéről, a végrehajtandó feladatokról, továbbá a feladatok ellátásához rendelt tárgyi és személyi feltételekről. Lehetőséget teremt az önkormányzati gazdálkodás társadalmi ellenőrzésére. </w:t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gazdasági, költségvetési hatásai</w:t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rendelet-tervezet magában foglalja Csorvás Város Önkormányzata és az önkormányzat irányítása alá tartozó költségvetési intézmények költségvetését. A 2018. évre vonatkozóan a költségvetésről szóló </w:t>
      </w:r>
      <w:r>
        <w:rPr>
          <w:sz w:val="22"/>
          <w:szCs w:val="22"/>
          <w:lang w:eastAsia="en-us"/>
        </w:rPr>
        <w:t xml:space="preserve">2/2018.(III.12.) önkormányzati rendeletben, és az annak módosításaiban </w:t>
      </w:r>
      <w:r>
        <w:rPr>
          <w:sz w:val="22"/>
          <w:szCs w:val="22"/>
        </w:rPr>
        <w:t>meghatározott kiadási előirányzatok mértékéig vállalható kötelezettség. A költségvetési rendelet, és annak módosításai alapvető szabályokat határoznak meg az önkormányzat éves gazdálkodására vonatkozóan.</w:t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környezeti, egészségi következményei</w:t>
      </w:r>
    </w:p>
    <w:p>
      <w:pPr>
        <w:spacing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Nem releváns.</w:t>
      </w:r>
    </w:p>
    <w:p>
      <w:pPr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adminisztratív terheket befolyásoló hatásai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Nem releváns.</w:t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megalkotásának szükségessége, a jogalkotás elmaradásának várható következményei</w:t>
      </w:r>
    </w:p>
    <w:p>
      <w:pPr>
        <w:spacing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A Magyarország helyi önkormányzatairól szóló 2011. évi CLXXXIX. törvény 111. § (2) bekezdése rendelkezik arról, hogy: „(2) A helyi önkormányzat gazdálkodásának alapja az éves költségvetése…”</w:t>
      </w:r>
    </w:p>
    <w:p>
      <w:pPr>
        <w:spacing/>
        <w:jc w:val="both"/>
        <w:rPr>
          <w:sz w:val="22"/>
          <w:szCs w:val="22"/>
          <w:lang w:eastAsia="hu-hu"/>
        </w:rPr>
      </w:pPr>
      <w:r>
        <w:rPr>
          <w:sz w:val="22"/>
          <w:szCs w:val="22"/>
          <w:lang w:eastAsia="en-us"/>
        </w:rPr>
        <w:t xml:space="preserve">Az államháztartásról szóló </w:t>
      </w:r>
      <w:r>
        <w:rPr>
          <w:sz w:val="22"/>
          <w:szCs w:val="22"/>
          <w:lang w:eastAsia="hu-hu"/>
        </w:rPr>
        <w:t xml:space="preserve">2011. évi CXCV. törvény </w:t>
      </w:r>
      <w:r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hu-hu"/>
        </w:rPr>
        <w:t xml:space="preserve">34. § </w:t>
      </w:r>
      <w:r>
        <w:rPr>
          <w:sz w:val="22"/>
          <w:szCs w:val="22"/>
        </w:rPr>
        <w:t xml:space="preserve">(4) bekezdése rögzíti, hogy a képviselő-testület – az első negyedév kivételével – negyedévenként módosítja a költségvetési rendeletét. </w:t>
      </w:r>
      <w:r>
        <w:rPr>
          <w:sz w:val="22"/>
          <w:szCs w:val="22"/>
          <w:lang w:eastAsia="hu-hu"/>
        </w:rPr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Az idézett törvényhelyek rendelkezéseiből következik, hogy a költségvetési rendelet módosításának elmaradása mulasztásos törvénysértést valósítana meg, ami alapul szolgálhatna arra, hogy a törvényességi felügyeletet gyakorló Kormányhivatal a jogszabálysértés miatt törvényességi felhívással éljen.</w:t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alkalmazásához szükséges személyi, szervezeti, tárgyi és pénzügyi feltételek</w:t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 rendelet végrehajtásával kapcsolatban a személyi, szervezeti, tárgyi és pénzügyi feltételek rendelkezésre állnak.</w:t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H-Times-Roman"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Számozott lista 1"/>
    <w:lvl w:ilvl="0">
      <w:start w:val="1"/>
      <w:numFmt w:val="lowerLetter"/>
      <w:suff w:val="tab"/>
      <w:lvlText w:val="%1)"/>
      <w:lvlJc w:val="left"/>
      <w:pPr>
        <w:ind w:left="3060" w:hanging="0"/>
      </w:pPr>
      <w:rPr/>
    </w:lvl>
    <w:lvl w:ilvl="1">
      <w:start w:val="1"/>
      <w:numFmt w:val="lowerLetter"/>
      <w:suff w:val="tab"/>
      <w:lvlText w:val="%2."/>
      <w:lvlJc w:val="left"/>
      <w:pPr>
        <w:ind w:left="-5075" w:hanging="0"/>
      </w:pPr>
      <w:rPr/>
    </w:lvl>
    <w:lvl w:ilvl="2">
      <w:start w:val="1"/>
      <w:numFmt w:val="lowerRoman"/>
      <w:suff w:val="tab"/>
      <w:lvlText w:val="%3."/>
      <w:lvlJc w:val="left"/>
      <w:pPr>
        <w:ind w:left="-4175" w:hanging="0"/>
      </w:pPr>
      <w:rPr/>
    </w:lvl>
    <w:lvl w:ilvl="3">
      <w:start w:val="1"/>
      <w:numFmt w:val="decimal"/>
      <w:suff w:val="tab"/>
      <w:lvlText w:val="%4."/>
      <w:lvlJc w:val="left"/>
      <w:pPr>
        <w:ind w:left="-3635" w:hanging="0"/>
      </w:pPr>
      <w:rPr/>
    </w:lvl>
    <w:lvl w:ilvl="4">
      <w:start w:val="1"/>
      <w:numFmt w:val="lowerLetter"/>
      <w:suff w:val="tab"/>
      <w:lvlText w:val="%5."/>
      <w:lvlJc w:val="left"/>
      <w:pPr>
        <w:ind w:left="-2915" w:hanging="0"/>
      </w:pPr>
      <w:rPr/>
    </w:lvl>
    <w:lvl w:ilvl="5">
      <w:start w:val="1"/>
      <w:numFmt w:val="lowerRoman"/>
      <w:suff w:val="tab"/>
      <w:lvlText w:val="%6."/>
      <w:lvlJc w:val="left"/>
      <w:pPr>
        <w:ind w:left="-2015" w:hanging="0"/>
      </w:pPr>
      <w:rPr/>
    </w:lvl>
    <w:lvl w:ilvl="6">
      <w:start w:val="1"/>
      <w:numFmt w:val="decimal"/>
      <w:suff w:val="tab"/>
      <w:lvlText w:val="%7."/>
      <w:lvlJc w:val="left"/>
      <w:pPr>
        <w:ind w:left="-1475" w:hanging="0"/>
      </w:pPr>
      <w:rPr/>
    </w:lvl>
    <w:lvl w:ilvl="7">
      <w:start w:val="1"/>
      <w:numFmt w:val="lowerLetter"/>
      <w:suff w:val="tab"/>
      <w:lvlText w:val="%8."/>
      <w:lvlJc w:val="left"/>
      <w:pPr>
        <w:ind w:left="-755" w:hanging="0"/>
      </w:pPr>
      <w:rPr/>
    </w:lvl>
    <w:lvl w:ilvl="8">
      <w:start w:val="1"/>
      <w:numFmt w:val="lowerRoman"/>
      <w:suff w:val="tab"/>
      <w:lvlText w:val="%9."/>
      <w:lvlJc w:val="left"/>
      <w:pPr>
        <w:ind w:left="145" w:hanging="0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29523180" w:val="93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ar-sa" w:bidi="ar-sa"/>
    </w:rPr>
  </w:style>
  <w:style w:type="paragraph" w:styleId="para1" w:customStyle="1">
    <w:name w:val="FejezetCím"/>
    <w:qFormat/>
    <w:basedOn w:val="para0"/>
    <w:pPr>
      <w:spacing w:before="480" w:after="240"/>
      <w:jc w:val="center"/>
      <w:keepNext/>
      <w:keepLines/>
    </w:pPr>
    <w:rPr>
      <w:rFonts w:ascii="H-Times-Roman" w:hAnsi="H-Times-Roman"/>
      <w:b/>
      <w:i/>
      <w:szCs w:val="20"/>
    </w:rPr>
  </w:style>
  <w:style w:type="character" w:styleId="char0" w:default="1">
    <w:name w:val="Default Paragraph Font"/>
    <w:basedOn w:val="char0"/>
  </w:style>
  <w:style w:type="character" w:styleId="char1">
    <w:name w:val="Hyperlink"/>
    <w:rPr>
      <w:color w:val="auto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ar-sa" w:bidi="ar-sa"/>
    </w:rPr>
  </w:style>
  <w:style w:type="paragraph" w:styleId="para1" w:customStyle="1">
    <w:name w:val="FejezetCím"/>
    <w:qFormat/>
    <w:basedOn w:val="para0"/>
    <w:pPr>
      <w:spacing w:before="480" w:after="240"/>
      <w:jc w:val="center"/>
      <w:keepNext/>
      <w:keepLines/>
    </w:pPr>
    <w:rPr>
      <w:rFonts w:ascii="H-Times-Roman" w:hAnsi="H-Times-Roman"/>
      <w:b/>
      <w:i/>
      <w:szCs w:val="20"/>
    </w:rPr>
  </w:style>
  <w:style w:type="character" w:styleId="char0" w:default="1">
    <w:name w:val="Default Paragraph Font"/>
    <w:basedOn w:val="char0"/>
  </w:style>
  <w:style w:type="character" w:styleId="char1">
    <w:name w:val="Hyperlink"/>
    <w:rPr>
      <w:color w:val="auto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Előzetes hatásvizsgálat</dc:title>
  <dc:subject/>
  <dc:creator>Jegyző</dc:creator>
  <cp:keywords/>
  <dc:description/>
  <cp:lastModifiedBy>Zakál</cp:lastModifiedBy>
  <cp:revision>3</cp:revision>
  <cp:lastPrinted>2015-02-12T11:58:00Z</cp:lastPrinted>
  <dcterms:created xsi:type="dcterms:W3CDTF">2018-06-20T19:33:00Z</dcterms:created>
  <dcterms:modified xsi:type="dcterms:W3CDTF">2018-06-20T19:33:00Z</dcterms:modified>
</cp:coreProperties>
</file>