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footer1.xml" ContentType="application/vnd.openxmlformats-officedocument.wordprocessingml.footer+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3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38.xml" ContentType="application/vnd.openxmlformats-officedocument.drawingml.chart+xml"/>
  <Override PartName="/word/charts/chart3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4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4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4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43.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468" w:rsidRPr="00363517" w:rsidRDefault="00A94468" w:rsidP="00A94468">
      <w:pPr>
        <w:rPr>
          <w:rFonts w:ascii="Times New Roman" w:hAnsi="Times New Roman"/>
          <w:sz w:val="20"/>
          <w:szCs w:val="20"/>
        </w:rPr>
      </w:pPr>
    </w:p>
    <w:p w:rsidR="00A94468" w:rsidRPr="00363517" w:rsidRDefault="00A94468" w:rsidP="00A94468">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rPr>
      </w:pPr>
    </w:p>
    <w:p w:rsidR="00A94468" w:rsidRPr="00363517" w:rsidRDefault="00A94468" w:rsidP="00A94468">
      <w:pPr>
        <w:pStyle w:val="NormlCalibri11"/>
        <w:pBdr>
          <w:top w:val="none" w:sz="0" w:space="0" w:color="auto"/>
          <w:left w:val="none" w:sz="0" w:space="0" w:color="auto"/>
          <w:bottom w:val="single" w:sz="4" w:space="1" w:color="FFFF00"/>
          <w:right w:val="none" w:sz="0" w:space="0" w:color="auto"/>
        </w:pBdr>
        <w:rPr>
          <w:rFonts w:ascii="Times New Roman" w:hAnsi="Times New Roman"/>
          <w:sz w:val="20"/>
          <w:szCs w:val="20"/>
        </w:rPr>
      </w:pPr>
    </w:p>
    <w:p w:rsidR="00A94468" w:rsidRPr="00363517" w:rsidRDefault="00A94468" w:rsidP="00A94468">
      <w:pPr>
        <w:pStyle w:val="NormlCalibri11"/>
        <w:pBdr>
          <w:top w:val="none" w:sz="0" w:space="0" w:color="auto"/>
          <w:left w:val="none" w:sz="0" w:space="0" w:color="auto"/>
          <w:bottom w:val="single" w:sz="4" w:space="1" w:color="FFFF00"/>
          <w:right w:val="none" w:sz="0" w:space="0" w:color="auto"/>
        </w:pBdr>
        <w:rPr>
          <w:rFonts w:ascii="Times New Roman" w:hAnsi="Times New Roman"/>
          <w:sz w:val="20"/>
          <w:szCs w:val="20"/>
        </w:rPr>
      </w:pPr>
    </w:p>
    <w:tbl>
      <w:tblPr>
        <w:tblW w:w="0" w:type="auto"/>
        <w:tblInd w:w="108" w:type="dxa"/>
        <w:tblLayout w:type="fixed"/>
        <w:tblLook w:val="0000" w:firstRow="0" w:lastRow="0" w:firstColumn="0" w:lastColumn="0" w:noHBand="0" w:noVBand="0"/>
      </w:tblPr>
      <w:tblGrid>
        <w:gridCol w:w="9855"/>
      </w:tblGrid>
      <w:tr w:rsidR="00A94468" w:rsidRPr="00363517" w:rsidTr="00EE4471">
        <w:trPr>
          <w:trHeight w:val="1440"/>
        </w:trPr>
        <w:tc>
          <w:tcPr>
            <w:tcW w:w="9855" w:type="dxa"/>
            <w:shd w:val="clear" w:color="auto" w:fill="auto"/>
            <w:vAlign w:val="center"/>
          </w:tcPr>
          <w:p w:rsidR="00A94468" w:rsidRPr="00363517" w:rsidRDefault="00A94468" w:rsidP="00EE4471">
            <w:pPr>
              <w:pStyle w:val="Nincstrkz"/>
              <w:snapToGrid w:val="0"/>
              <w:jc w:val="center"/>
              <w:rPr>
                <w:rFonts w:ascii="Times New Roman" w:hAnsi="Times New Roman"/>
                <w:sz w:val="24"/>
                <w:szCs w:val="24"/>
              </w:rPr>
            </w:pPr>
          </w:p>
        </w:tc>
      </w:tr>
      <w:tr w:rsidR="00A94468" w:rsidRPr="00363517" w:rsidTr="00EE4471">
        <w:trPr>
          <w:trHeight w:val="720"/>
        </w:trPr>
        <w:tc>
          <w:tcPr>
            <w:tcW w:w="9855" w:type="dxa"/>
            <w:shd w:val="clear" w:color="auto" w:fill="auto"/>
            <w:vAlign w:val="center"/>
          </w:tcPr>
          <w:p w:rsidR="00A94468" w:rsidRPr="00363517" w:rsidRDefault="00A94468" w:rsidP="00EE4471">
            <w:pPr>
              <w:pStyle w:val="Nincstrkz"/>
              <w:snapToGrid w:val="0"/>
              <w:jc w:val="center"/>
              <w:rPr>
                <w:rFonts w:ascii="Times New Roman" w:hAnsi="Times New Roman"/>
                <w:b/>
                <w:sz w:val="52"/>
                <w:szCs w:val="52"/>
              </w:rPr>
            </w:pPr>
            <w:r w:rsidRPr="00363517">
              <w:rPr>
                <w:rFonts w:ascii="Times New Roman" w:hAnsi="Times New Roman"/>
                <w:b/>
                <w:sz w:val="52"/>
                <w:szCs w:val="52"/>
              </w:rPr>
              <w:t xml:space="preserve">CSORVÁS Város Önkormányzatának </w:t>
            </w:r>
          </w:p>
          <w:p w:rsidR="00A94468" w:rsidRPr="00363517" w:rsidRDefault="00A94468" w:rsidP="00EE4471">
            <w:pPr>
              <w:pStyle w:val="Nincstrkz"/>
              <w:jc w:val="center"/>
              <w:rPr>
                <w:rFonts w:ascii="Times New Roman" w:hAnsi="Times New Roman"/>
                <w:b/>
                <w:sz w:val="32"/>
                <w:szCs w:val="32"/>
              </w:rPr>
            </w:pPr>
          </w:p>
        </w:tc>
      </w:tr>
      <w:tr w:rsidR="00A94468" w:rsidRPr="00363517" w:rsidTr="00EE4471">
        <w:trPr>
          <w:trHeight w:val="360"/>
        </w:trPr>
        <w:tc>
          <w:tcPr>
            <w:tcW w:w="9855" w:type="dxa"/>
            <w:shd w:val="clear" w:color="auto" w:fill="auto"/>
            <w:vAlign w:val="center"/>
          </w:tcPr>
          <w:p w:rsidR="00A94468" w:rsidRPr="00363517" w:rsidRDefault="00A94468" w:rsidP="00EE4471">
            <w:pPr>
              <w:pStyle w:val="Nincstrkz"/>
              <w:snapToGrid w:val="0"/>
              <w:jc w:val="center"/>
              <w:rPr>
                <w:rFonts w:ascii="Times New Roman" w:hAnsi="Times New Roman"/>
                <w:b/>
                <w:bCs/>
                <w:sz w:val="24"/>
                <w:szCs w:val="24"/>
              </w:rPr>
            </w:pPr>
          </w:p>
          <w:p w:rsidR="00A94468" w:rsidRPr="00363517" w:rsidRDefault="00A94468" w:rsidP="00EE4471">
            <w:pPr>
              <w:pStyle w:val="Nincstrkz"/>
              <w:jc w:val="center"/>
              <w:rPr>
                <w:rFonts w:ascii="Times New Roman" w:hAnsi="Times New Roman"/>
                <w:b/>
                <w:bCs/>
                <w:sz w:val="24"/>
                <w:szCs w:val="24"/>
              </w:rPr>
            </w:pPr>
          </w:p>
          <w:p w:rsidR="00A94468" w:rsidRPr="00363517" w:rsidRDefault="00A94468" w:rsidP="00EE4471">
            <w:pPr>
              <w:pStyle w:val="Nincstrkz"/>
              <w:jc w:val="center"/>
              <w:rPr>
                <w:rFonts w:ascii="Times New Roman" w:hAnsi="Times New Roman"/>
                <w:b/>
                <w:bCs/>
                <w:sz w:val="24"/>
                <w:szCs w:val="24"/>
              </w:rPr>
            </w:pPr>
          </w:p>
          <w:p w:rsidR="00A94468" w:rsidRPr="00363517" w:rsidRDefault="00A94468" w:rsidP="00EE4471">
            <w:pPr>
              <w:pStyle w:val="Nincstrkz"/>
              <w:jc w:val="center"/>
              <w:rPr>
                <w:rFonts w:ascii="Times New Roman" w:hAnsi="Times New Roman"/>
                <w:b/>
                <w:sz w:val="52"/>
                <w:szCs w:val="52"/>
              </w:rPr>
            </w:pPr>
            <w:r w:rsidRPr="00363517">
              <w:rPr>
                <w:rFonts w:ascii="Times New Roman" w:hAnsi="Times New Roman"/>
                <w:b/>
                <w:sz w:val="52"/>
                <w:szCs w:val="52"/>
              </w:rPr>
              <w:t xml:space="preserve">Helyi Esélyegyenlőségi </w:t>
            </w:r>
          </w:p>
          <w:p w:rsidR="00A94468" w:rsidRPr="00363517" w:rsidRDefault="00A94468" w:rsidP="00EE4471">
            <w:pPr>
              <w:pStyle w:val="Nincstrkz"/>
              <w:jc w:val="center"/>
              <w:rPr>
                <w:rFonts w:ascii="Times New Roman" w:hAnsi="Times New Roman"/>
                <w:b/>
                <w:sz w:val="52"/>
                <w:szCs w:val="52"/>
              </w:rPr>
            </w:pPr>
          </w:p>
          <w:p w:rsidR="00A94468" w:rsidRPr="00363517" w:rsidRDefault="00A94468" w:rsidP="00EE4471">
            <w:pPr>
              <w:pStyle w:val="Nincstrkz"/>
              <w:ind w:left="360"/>
              <w:jc w:val="center"/>
              <w:rPr>
                <w:rFonts w:ascii="Times New Roman" w:hAnsi="Times New Roman"/>
                <w:b/>
                <w:sz w:val="52"/>
                <w:szCs w:val="52"/>
              </w:rPr>
            </w:pPr>
            <w:r w:rsidRPr="00363517">
              <w:rPr>
                <w:rFonts w:ascii="Times New Roman" w:hAnsi="Times New Roman"/>
                <w:b/>
                <w:sz w:val="52"/>
                <w:szCs w:val="52"/>
              </w:rPr>
              <w:t>Programja</w:t>
            </w:r>
          </w:p>
          <w:p w:rsidR="00A94468" w:rsidRPr="00363517" w:rsidRDefault="00A94468" w:rsidP="00EE4471">
            <w:pPr>
              <w:pStyle w:val="Nincstrkz"/>
              <w:jc w:val="center"/>
              <w:rPr>
                <w:rFonts w:ascii="Times New Roman" w:hAnsi="Times New Roman"/>
                <w:b/>
                <w:bCs/>
                <w:sz w:val="24"/>
                <w:szCs w:val="24"/>
              </w:rPr>
            </w:pPr>
          </w:p>
          <w:p w:rsidR="00A94468" w:rsidRPr="00363517" w:rsidRDefault="00A94468" w:rsidP="00EE4471">
            <w:pPr>
              <w:pStyle w:val="Nincstrkz"/>
              <w:jc w:val="center"/>
              <w:rPr>
                <w:rFonts w:ascii="Times New Roman" w:hAnsi="Times New Roman"/>
                <w:b/>
                <w:bCs/>
                <w:sz w:val="24"/>
                <w:szCs w:val="24"/>
              </w:rPr>
            </w:pPr>
          </w:p>
          <w:p w:rsidR="00A94468" w:rsidRPr="00363517" w:rsidRDefault="00A94468" w:rsidP="00EE4471">
            <w:pPr>
              <w:pStyle w:val="Nincstrkz"/>
              <w:jc w:val="center"/>
              <w:rPr>
                <w:rFonts w:ascii="Times New Roman" w:hAnsi="Times New Roman"/>
                <w:b/>
                <w:bCs/>
                <w:sz w:val="24"/>
                <w:szCs w:val="24"/>
              </w:rPr>
            </w:pPr>
          </w:p>
          <w:p w:rsidR="00A94468" w:rsidRPr="00363517" w:rsidRDefault="00A94468" w:rsidP="00EE4471">
            <w:pPr>
              <w:pStyle w:val="Nincstrkz"/>
              <w:jc w:val="center"/>
              <w:rPr>
                <w:rFonts w:ascii="Times New Roman" w:hAnsi="Times New Roman"/>
                <w:b/>
                <w:bCs/>
                <w:sz w:val="24"/>
                <w:szCs w:val="24"/>
              </w:rPr>
            </w:pPr>
          </w:p>
          <w:p w:rsidR="00A94468" w:rsidRPr="00363517" w:rsidRDefault="00A94468" w:rsidP="00EE4471">
            <w:pPr>
              <w:pStyle w:val="Nincstrkz"/>
              <w:jc w:val="center"/>
              <w:rPr>
                <w:rFonts w:ascii="Times New Roman" w:hAnsi="Times New Roman"/>
                <w:b/>
                <w:bCs/>
                <w:sz w:val="24"/>
                <w:szCs w:val="24"/>
              </w:rPr>
            </w:pPr>
          </w:p>
          <w:p w:rsidR="00A94468" w:rsidRPr="00363517" w:rsidRDefault="00A94468" w:rsidP="00EE4471">
            <w:pPr>
              <w:pStyle w:val="Nincstrkz"/>
              <w:jc w:val="center"/>
              <w:rPr>
                <w:rFonts w:ascii="Times New Roman" w:hAnsi="Times New Roman"/>
                <w:b/>
                <w:bCs/>
                <w:sz w:val="24"/>
                <w:szCs w:val="24"/>
              </w:rPr>
            </w:pPr>
          </w:p>
          <w:p w:rsidR="00A94468" w:rsidRPr="00363517" w:rsidRDefault="00A94468" w:rsidP="00EE4471">
            <w:pPr>
              <w:pStyle w:val="Nincstrkz"/>
              <w:jc w:val="center"/>
              <w:rPr>
                <w:rFonts w:ascii="Times New Roman" w:hAnsi="Times New Roman"/>
                <w:b/>
                <w:bCs/>
                <w:sz w:val="24"/>
                <w:szCs w:val="24"/>
              </w:rPr>
            </w:pPr>
            <w:r w:rsidRPr="00363517">
              <w:rPr>
                <w:rFonts w:ascii="Times New Roman" w:hAnsi="Times New Roman"/>
                <w:noProof/>
                <w:sz w:val="24"/>
                <w:szCs w:val="24"/>
                <w:lang w:eastAsia="hu-HU"/>
              </w:rPr>
              <w:drawing>
                <wp:inline distT="0" distB="0" distL="0" distR="0">
                  <wp:extent cx="1171575" cy="1428750"/>
                  <wp:effectExtent l="0" t="0" r="9525"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1575" cy="1428750"/>
                          </a:xfrm>
                          <a:prstGeom prst="rect">
                            <a:avLst/>
                          </a:prstGeom>
                          <a:solidFill>
                            <a:srgbClr val="FFFFFF"/>
                          </a:solidFill>
                          <a:ln>
                            <a:noFill/>
                          </a:ln>
                        </pic:spPr>
                      </pic:pic>
                    </a:graphicData>
                  </a:graphic>
                </wp:inline>
              </w:drawing>
            </w:r>
          </w:p>
          <w:p w:rsidR="00A94468" w:rsidRPr="00363517" w:rsidRDefault="00A94468" w:rsidP="00EE4471">
            <w:pPr>
              <w:pStyle w:val="Nincstrkz"/>
              <w:jc w:val="center"/>
              <w:rPr>
                <w:rFonts w:ascii="Times New Roman" w:hAnsi="Times New Roman"/>
                <w:b/>
                <w:bCs/>
                <w:sz w:val="24"/>
                <w:szCs w:val="24"/>
              </w:rPr>
            </w:pPr>
          </w:p>
          <w:p w:rsidR="00A94468" w:rsidRPr="00363517" w:rsidRDefault="00A94468" w:rsidP="00EE4471">
            <w:pPr>
              <w:pStyle w:val="Nincstrkz"/>
              <w:jc w:val="center"/>
              <w:rPr>
                <w:rFonts w:ascii="Times New Roman" w:hAnsi="Times New Roman"/>
                <w:b/>
                <w:bCs/>
                <w:sz w:val="24"/>
                <w:szCs w:val="24"/>
              </w:rPr>
            </w:pPr>
          </w:p>
          <w:p w:rsidR="00A94468" w:rsidRPr="00363517" w:rsidRDefault="00A94468" w:rsidP="00EE4471">
            <w:pPr>
              <w:pStyle w:val="Nincstrkz"/>
              <w:jc w:val="center"/>
              <w:rPr>
                <w:rFonts w:ascii="Times New Roman" w:hAnsi="Times New Roman"/>
                <w:b/>
                <w:bCs/>
                <w:sz w:val="24"/>
                <w:szCs w:val="24"/>
              </w:rPr>
            </w:pPr>
          </w:p>
          <w:p w:rsidR="00A94468" w:rsidRPr="00363517" w:rsidRDefault="00A94468" w:rsidP="00EE4471">
            <w:pPr>
              <w:pStyle w:val="Nincstrkz"/>
              <w:jc w:val="center"/>
              <w:rPr>
                <w:rFonts w:ascii="Times New Roman" w:hAnsi="Times New Roman"/>
                <w:b/>
                <w:bCs/>
                <w:sz w:val="24"/>
                <w:szCs w:val="24"/>
              </w:rPr>
            </w:pPr>
          </w:p>
          <w:p w:rsidR="00A94468" w:rsidRPr="00363517" w:rsidRDefault="00A94468" w:rsidP="00EE4471">
            <w:pPr>
              <w:pStyle w:val="Nincstrkz"/>
              <w:jc w:val="center"/>
              <w:rPr>
                <w:rFonts w:ascii="Times New Roman" w:hAnsi="Times New Roman"/>
                <w:b/>
                <w:bCs/>
                <w:sz w:val="24"/>
                <w:szCs w:val="24"/>
              </w:rPr>
            </w:pPr>
          </w:p>
          <w:p w:rsidR="00A94468" w:rsidRPr="00363517" w:rsidRDefault="00A94468" w:rsidP="00EE4471">
            <w:pPr>
              <w:pStyle w:val="Nincstrkz"/>
              <w:jc w:val="center"/>
              <w:rPr>
                <w:rFonts w:ascii="Times New Roman" w:hAnsi="Times New Roman"/>
                <w:b/>
                <w:bCs/>
                <w:sz w:val="24"/>
                <w:szCs w:val="24"/>
              </w:rPr>
            </w:pPr>
          </w:p>
          <w:p w:rsidR="00A94468" w:rsidRPr="00363517" w:rsidRDefault="00A94468" w:rsidP="00EE4471">
            <w:pPr>
              <w:pStyle w:val="Nincstrkz"/>
              <w:jc w:val="center"/>
              <w:rPr>
                <w:rFonts w:ascii="Times New Roman" w:hAnsi="Times New Roman"/>
                <w:b/>
                <w:bCs/>
                <w:sz w:val="24"/>
                <w:szCs w:val="24"/>
              </w:rPr>
            </w:pPr>
            <w:r w:rsidRPr="00363517">
              <w:rPr>
                <w:rFonts w:ascii="Times New Roman" w:hAnsi="Times New Roman"/>
                <w:b/>
                <w:bCs/>
                <w:sz w:val="24"/>
                <w:szCs w:val="24"/>
              </w:rPr>
              <w:t>20</w:t>
            </w:r>
            <w:r w:rsidR="00B65BC1">
              <w:rPr>
                <w:rFonts w:ascii="Times New Roman" w:hAnsi="Times New Roman"/>
                <w:b/>
                <w:bCs/>
                <w:sz w:val="24"/>
                <w:szCs w:val="24"/>
              </w:rPr>
              <w:t>23-2027</w:t>
            </w:r>
          </w:p>
          <w:p w:rsidR="00A94468" w:rsidRPr="00363517" w:rsidRDefault="00A94468" w:rsidP="00EE4471">
            <w:pPr>
              <w:pStyle w:val="Nincstrkz"/>
              <w:jc w:val="center"/>
              <w:rPr>
                <w:rFonts w:ascii="Times New Roman" w:hAnsi="Times New Roman"/>
                <w:b/>
                <w:bCs/>
                <w:color w:val="0070C0"/>
                <w:sz w:val="24"/>
                <w:szCs w:val="24"/>
              </w:rPr>
            </w:pPr>
          </w:p>
        </w:tc>
      </w:tr>
    </w:tbl>
    <w:p w:rsidR="00A94468" w:rsidRPr="00363517" w:rsidRDefault="00A94468" w:rsidP="00A94468">
      <w:pPr>
        <w:rPr>
          <w:rFonts w:ascii="Times New Roman" w:hAnsi="Times New Roman"/>
        </w:rPr>
      </w:pPr>
    </w:p>
    <w:p w:rsidR="00A94468" w:rsidRPr="00363517" w:rsidRDefault="00A94468" w:rsidP="00A94468">
      <w:pPr>
        <w:rPr>
          <w:rFonts w:ascii="Times New Roman" w:hAnsi="Times New Roman"/>
          <w:sz w:val="20"/>
          <w:szCs w:val="20"/>
        </w:rPr>
      </w:pPr>
    </w:p>
    <w:p w:rsidR="00A94468" w:rsidRPr="00363517" w:rsidRDefault="00A94468" w:rsidP="0019638B">
      <w:pPr>
        <w:pageBreakBefore/>
        <w:spacing w:after="480"/>
        <w:jc w:val="center"/>
        <w:rPr>
          <w:rFonts w:ascii="Times New Roman" w:hAnsi="Times New Roman"/>
          <w:b/>
          <w:sz w:val="28"/>
          <w:szCs w:val="28"/>
        </w:rPr>
      </w:pPr>
      <w:r w:rsidRPr="00363517">
        <w:rPr>
          <w:rFonts w:ascii="Times New Roman" w:hAnsi="Times New Roman"/>
          <w:b/>
          <w:sz w:val="28"/>
          <w:szCs w:val="28"/>
        </w:rPr>
        <w:lastRenderedPageBreak/>
        <w:t>Tartalom</w:t>
      </w:r>
    </w:p>
    <w:p w:rsidR="0018452E" w:rsidRPr="0019638B" w:rsidRDefault="0018452E" w:rsidP="0019638B">
      <w:pPr>
        <w:pStyle w:val="TJ1"/>
        <w:spacing w:line="360" w:lineRule="auto"/>
        <w:rPr>
          <w:rFonts w:ascii="Times New Roman" w:eastAsiaTheme="minorEastAsia" w:hAnsi="Times New Roman"/>
          <w:noProof/>
          <w:sz w:val="28"/>
          <w:szCs w:val="28"/>
          <w:lang w:eastAsia="hu-HU"/>
        </w:rPr>
      </w:pPr>
      <w:r w:rsidRPr="0019638B">
        <w:rPr>
          <w:rFonts w:ascii="Times New Roman" w:hAnsi="Times New Roman"/>
          <w:sz w:val="28"/>
          <w:szCs w:val="28"/>
        </w:rPr>
        <w:fldChar w:fldCharType="begin"/>
      </w:r>
      <w:r w:rsidRPr="0019638B">
        <w:rPr>
          <w:rFonts w:ascii="Times New Roman" w:hAnsi="Times New Roman"/>
          <w:sz w:val="28"/>
          <w:szCs w:val="28"/>
        </w:rPr>
        <w:instrText xml:space="preserve"> TOC \o "1-3" \h \z \u </w:instrText>
      </w:r>
      <w:r w:rsidRPr="0019638B">
        <w:rPr>
          <w:rFonts w:ascii="Times New Roman" w:hAnsi="Times New Roman"/>
          <w:sz w:val="28"/>
          <w:szCs w:val="28"/>
        </w:rPr>
        <w:fldChar w:fldCharType="separate"/>
      </w:r>
      <w:hyperlink w:anchor="_Toc119566829" w:history="1">
        <w:r w:rsidRPr="0019638B">
          <w:rPr>
            <w:rStyle w:val="Hiperhivatkozs"/>
            <w:rFonts w:ascii="Times New Roman" w:hAnsi="Times New Roman"/>
            <w:noProof/>
            <w:sz w:val="28"/>
            <w:szCs w:val="28"/>
          </w:rPr>
          <w:t>Helyi Esélyegyenlőségi Program (HEP)</w:t>
        </w:r>
        <w:r w:rsidRPr="0019638B">
          <w:rPr>
            <w:rFonts w:ascii="Times New Roman" w:hAnsi="Times New Roman"/>
            <w:noProof/>
            <w:webHidden/>
            <w:sz w:val="28"/>
            <w:szCs w:val="28"/>
          </w:rPr>
          <w:tab/>
        </w:r>
        <w:r w:rsidRPr="0019638B">
          <w:rPr>
            <w:rFonts w:ascii="Times New Roman" w:hAnsi="Times New Roman"/>
            <w:noProof/>
            <w:webHidden/>
            <w:sz w:val="28"/>
            <w:szCs w:val="28"/>
          </w:rPr>
          <w:fldChar w:fldCharType="begin"/>
        </w:r>
        <w:r w:rsidRPr="0019638B">
          <w:rPr>
            <w:rFonts w:ascii="Times New Roman" w:hAnsi="Times New Roman"/>
            <w:noProof/>
            <w:webHidden/>
            <w:sz w:val="28"/>
            <w:szCs w:val="28"/>
          </w:rPr>
          <w:instrText xml:space="preserve"> PAGEREF _Toc119566829 \h </w:instrText>
        </w:r>
        <w:r w:rsidRPr="0019638B">
          <w:rPr>
            <w:rFonts w:ascii="Times New Roman" w:hAnsi="Times New Roman"/>
            <w:noProof/>
            <w:webHidden/>
            <w:sz w:val="28"/>
            <w:szCs w:val="28"/>
          </w:rPr>
        </w:r>
        <w:r w:rsidRPr="0019638B">
          <w:rPr>
            <w:rFonts w:ascii="Times New Roman" w:hAnsi="Times New Roman"/>
            <w:noProof/>
            <w:webHidden/>
            <w:sz w:val="28"/>
            <w:szCs w:val="28"/>
          </w:rPr>
          <w:fldChar w:fldCharType="separate"/>
        </w:r>
        <w:r w:rsidRPr="0019638B">
          <w:rPr>
            <w:rFonts w:ascii="Times New Roman" w:hAnsi="Times New Roman"/>
            <w:noProof/>
            <w:webHidden/>
            <w:sz w:val="28"/>
            <w:szCs w:val="28"/>
          </w:rPr>
          <w:t>3</w:t>
        </w:r>
        <w:r w:rsidRPr="0019638B">
          <w:rPr>
            <w:rFonts w:ascii="Times New Roman" w:hAnsi="Times New Roman"/>
            <w:noProof/>
            <w:webHidden/>
            <w:sz w:val="28"/>
            <w:szCs w:val="28"/>
          </w:rPr>
          <w:fldChar w:fldCharType="end"/>
        </w:r>
      </w:hyperlink>
    </w:p>
    <w:p w:rsidR="0018452E" w:rsidRPr="0019638B" w:rsidRDefault="000B527A" w:rsidP="0019638B">
      <w:pPr>
        <w:pStyle w:val="TJ2"/>
        <w:tabs>
          <w:tab w:val="right" w:leader="dot" w:pos="9062"/>
        </w:tabs>
        <w:spacing w:line="360" w:lineRule="auto"/>
        <w:rPr>
          <w:rFonts w:ascii="Times New Roman" w:eastAsiaTheme="minorEastAsia" w:hAnsi="Times New Roman"/>
          <w:noProof/>
          <w:sz w:val="28"/>
          <w:szCs w:val="28"/>
          <w:lang w:eastAsia="hu-HU"/>
        </w:rPr>
      </w:pPr>
      <w:hyperlink w:anchor="_Toc119566830" w:history="1">
        <w:r w:rsidR="0018452E" w:rsidRPr="0019638B">
          <w:rPr>
            <w:rStyle w:val="Hiperhivatkozs"/>
            <w:rFonts w:ascii="Times New Roman" w:hAnsi="Times New Roman"/>
            <w:noProof/>
            <w:sz w:val="28"/>
            <w:szCs w:val="28"/>
          </w:rPr>
          <w:t>Bevezetés</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_Toc119566830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3</w:t>
        </w:r>
        <w:r w:rsidR="0018452E" w:rsidRPr="0019638B">
          <w:rPr>
            <w:rFonts w:ascii="Times New Roman" w:hAnsi="Times New Roman"/>
            <w:noProof/>
            <w:webHidden/>
            <w:sz w:val="28"/>
            <w:szCs w:val="28"/>
          </w:rPr>
          <w:fldChar w:fldCharType="end"/>
        </w:r>
      </w:hyperlink>
    </w:p>
    <w:p w:rsidR="0018452E" w:rsidRPr="0019638B" w:rsidRDefault="000B527A" w:rsidP="0019638B">
      <w:pPr>
        <w:pStyle w:val="TJ2"/>
        <w:tabs>
          <w:tab w:val="right" w:leader="dot" w:pos="9062"/>
        </w:tabs>
        <w:spacing w:line="360" w:lineRule="auto"/>
        <w:rPr>
          <w:rFonts w:ascii="Times New Roman" w:eastAsiaTheme="minorEastAsia" w:hAnsi="Times New Roman"/>
          <w:noProof/>
          <w:sz w:val="28"/>
          <w:szCs w:val="28"/>
          <w:lang w:eastAsia="hu-HU"/>
        </w:rPr>
      </w:pPr>
      <w:hyperlink w:anchor="_Toc119566831" w:history="1">
        <w:r w:rsidR="0018452E" w:rsidRPr="0019638B">
          <w:rPr>
            <w:rStyle w:val="Hiperhivatkozs"/>
            <w:rFonts w:ascii="Times New Roman" w:hAnsi="Times New Roman"/>
            <w:noProof/>
            <w:sz w:val="28"/>
            <w:szCs w:val="28"/>
          </w:rPr>
          <w:t>A település bemutatása</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_Toc119566831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3</w:t>
        </w:r>
        <w:r w:rsidR="0018452E" w:rsidRPr="0019638B">
          <w:rPr>
            <w:rFonts w:ascii="Times New Roman" w:hAnsi="Times New Roman"/>
            <w:noProof/>
            <w:webHidden/>
            <w:sz w:val="28"/>
            <w:szCs w:val="28"/>
          </w:rPr>
          <w:fldChar w:fldCharType="end"/>
        </w:r>
      </w:hyperlink>
    </w:p>
    <w:p w:rsidR="0018452E" w:rsidRPr="0019638B" w:rsidRDefault="000B527A" w:rsidP="0019638B">
      <w:pPr>
        <w:pStyle w:val="TJ2"/>
        <w:tabs>
          <w:tab w:val="right" w:leader="dot" w:pos="9062"/>
        </w:tabs>
        <w:spacing w:line="360" w:lineRule="auto"/>
        <w:rPr>
          <w:rFonts w:ascii="Times New Roman" w:eastAsiaTheme="minorEastAsia" w:hAnsi="Times New Roman"/>
          <w:noProof/>
          <w:sz w:val="28"/>
          <w:szCs w:val="28"/>
          <w:lang w:eastAsia="hu-HU"/>
        </w:rPr>
      </w:pPr>
      <w:hyperlink w:anchor="_Toc119566832" w:history="1">
        <w:r w:rsidR="0018452E" w:rsidRPr="0019638B">
          <w:rPr>
            <w:rStyle w:val="Hiperhivatkozs"/>
            <w:rFonts w:ascii="Times New Roman" w:hAnsi="Times New Roman"/>
            <w:noProof/>
            <w:sz w:val="28"/>
            <w:szCs w:val="28"/>
          </w:rPr>
          <w:t>Értékeink, küldetésünk</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_Toc119566832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12</w:t>
        </w:r>
        <w:r w:rsidR="0018452E" w:rsidRPr="0019638B">
          <w:rPr>
            <w:rFonts w:ascii="Times New Roman" w:hAnsi="Times New Roman"/>
            <w:noProof/>
            <w:webHidden/>
            <w:sz w:val="28"/>
            <w:szCs w:val="28"/>
          </w:rPr>
          <w:fldChar w:fldCharType="end"/>
        </w:r>
      </w:hyperlink>
    </w:p>
    <w:p w:rsidR="0018452E" w:rsidRPr="0019638B" w:rsidRDefault="000B527A" w:rsidP="0019638B">
      <w:pPr>
        <w:pStyle w:val="TJ2"/>
        <w:tabs>
          <w:tab w:val="right" w:leader="dot" w:pos="9062"/>
        </w:tabs>
        <w:spacing w:line="360" w:lineRule="auto"/>
        <w:rPr>
          <w:rFonts w:ascii="Times New Roman" w:eastAsiaTheme="minorEastAsia" w:hAnsi="Times New Roman"/>
          <w:noProof/>
          <w:sz w:val="28"/>
          <w:szCs w:val="28"/>
          <w:lang w:eastAsia="hu-HU"/>
        </w:rPr>
      </w:pPr>
      <w:hyperlink w:anchor="_Toc119566833" w:history="1">
        <w:r w:rsidR="0018452E" w:rsidRPr="0019638B">
          <w:rPr>
            <w:rStyle w:val="Hiperhivatkozs"/>
            <w:rFonts w:ascii="Times New Roman" w:hAnsi="Times New Roman"/>
            <w:noProof/>
            <w:sz w:val="28"/>
            <w:szCs w:val="28"/>
          </w:rPr>
          <w:t>Célok</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_Toc119566833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12</w:t>
        </w:r>
        <w:r w:rsidR="0018452E" w:rsidRPr="0019638B">
          <w:rPr>
            <w:rFonts w:ascii="Times New Roman" w:hAnsi="Times New Roman"/>
            <w:noProof/>
            <w:webHidden/>
            <w:sz w:val="28"/>
            <w:szCs w:val="28"/>
          </w:rPr>
          <w:fldChar w:fldCharType="end"/>
        </w:r>
      </w:hyperlink>
    </w:p>
    <w:p w:rsidR="0018452E" w:rsidRPr="0019638B" w:rsidRDefault="000B527A" w:rsidP="0019638B">
      <w:pPr>
        <w:pStyle w:val="TJ2"/>
        <w:tabs>
          <w:tab w:val="right" w:leader="dot" w:pos="9062"/>
        </w:tabs>
        <w:spacing w:line="360" w:lineRule="auto"/>
        <w:rPr>
          <w:rFonts w:ascii="Times New Roman" w:eastAsiaTheme="minorEastAsia" w:hAnsi="Times New Roman"/>
          <w:noProof/>
          <w:sz w:val="28"/>
          <w:szCs w:val="28"/>
          <w:lang w:eastAsia="hu-HU"/>
        </w:rPr>
      </w:pPr>
      <w:hyperlink w:anchor="_Toc119566834" w:history="1">
        <w:r w:rsidR="0018452E" w:rsidRPr="0019638B">
          <w:rPr>
            <w:rStyle w:val="Hiperhivatkozs"/>
            <w:rFonts w:ascii="Times New Roman" w:hAnsi="Times New Roman"/>
            <w:noProof/>
            <w:sz w:val="28"/>
            <w:szCs w:val="28"/>
          </w:rPr>
          <w:t>A Helyi Esélyegyenlőségi Program Helyzetelemzése (HEP HE)</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_Toc119566834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14</w:t>
        </w:r>
        <w:r w:rsidR="0018452E" w:rsidRPr="0019638B">
          <w:rPr>
            <w:rFonts w:ascii="Times New Roman" w:hAnsi="Times New Roman"/>
            <w:noProof/>
            <w:webHidden/>
            <w:sz w:val="28"/>
            <w:szCs w:val="28"/>
          </w:rPr>
          <w:fldChar w:fldCharType="end"/>
        </w:r>
      </w:hyperlink>
    </w:p>
    <w:p w:rsidR="0018452E" w:rsidRPr="0019638B" w:rsidRDefault="000B527A" w:rsidP="0019638B">
      <w:pPr>
        <w:pStyle w:val="TJ3"/>
        <w:tabs>
          <w:tab w:val="right" w:leader="dot" w:pos="9062"/>
        </w:tabs>
        <w:spacing w:line="360" w:lineRule="auto"/>
        <w:rPr>
          <w:rFonts w:ascii="Times New Roman" w:eastAsiaTheme="minorEastAsia" w:hAnsi="Times New Roman"/>
          <w:noProof/>
          <w:sz w:val="28"/>
          <w:szCs w:val="28"/>
          <w:lang w:eastAsia="hu-HU"/>
        </w:rPr>
      </w:pPr>
      <w:hyperlink w:anchor="_Toc119566835" w:history="1">
        <w:r w:rsidR="0018452E" w:rsidRPr="0019638B">
          <w:rPr>
            <w:rStyle w:val="Hiperhivatkozs"/>
            <w:rFonts w:ascii="Times New Roman" w:hAnsi="Times New Roman"/>
            <w:noProof/>
            <w:sz w:val="28"/>
            <w:szCs w:val="28"/>
          </w:rPr>
          <w:t>1. Jogszabályi háttér bemutatása</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_Toc119566835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14</w:t>
        </w:r>
        <w:r w:rsidR="0018452E" w:rsidRPr="0019638B">
          <w:rPr>
            <w:rFonts w:ascii="Times New Roman" w:hAnsi="Times New Roman"/>
            <w:noProof/>
            <w:webHidden/>
            <w:sz w:val="28"/>
            <w:szCs w:val="28"/>
          </w:rPr>
          <w:fldChar w:fldCharType="end"/>
        </w:r>
      </w:hyperlink>
    </w:p>
    <w:p w:rsidR="0018452E" w:rsidRPr="0019638B" w:rsidRDefault="000B527A" w:rsidP="0019638B">
      <w:pPr>
        <w:pStyle w:val="TJ3"/>
        <w:tabs>
          <w:tab w:val="right" w:leader="dot" w:pos="9062"/>
        </w:tabs>
        <w:spacing w:line="360" w:lineRule="auto"/>
        <w:rPr>
          <w:rFonts w:ascii="Times New Roman" w:eastAsiaTheme="minorEastAsia" w:hAnsi="Times New Roman"/>
          <w:noProof/>
          <w:sz w:val="28"/>
          <w:szCs w:val="28"/>
          <w:lang w:eastAsia="hu-HU"/>
        </w:rPr>
      </w:pPr>
      <w:hyperlink w:anchor="_Toc119566836" w:history="1">
        <w:r w:rsidR="0018452E" w:rsidRPr="0019638B">
          <w:rPr>
            <w:rStyle w:val="Hiperhivatkozs"/>
            <w:rFonts w:ascii="Times New Roman" w:hAnsi="Times New Roman"/>
            <w:noProof/>
            <w:sz w:val="28"/>
            <w:szCs w:val="28"/>
          </w:rPr>
          <w:t>2. Stratégiai környezet bemutatása</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_Toc119566836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15</w:t>
        </w:r>
        <w:r w:rsidR="0018452E" w:rsidRPr="0019638B">
          <w:rPr>
            <w:rFonts w:ascii="Times New Roman" w:hAnsi="Times New Roman"/>
            <w:noProof/>
            <w:webHidden/>
            <w:sz w:val="28"/>
            <w:szCs w:val="28"/>
          </w:rPr>
          <w:fldChar w:fldCharType="end"/>
        </w:r>
      </w:hyperlink>
    </w:p>
    <w:p w:rsidR="0018452E" w:rsidRPr="0019638B" w:rsidRDefault="000B527A" w:rsidP="0019638B">
      <w:pPr>
        <w:pStyle w:val="TJ3"/>
        <w:tabs>
          <w:tab w:val="right" w:leader="dot" w:pos="9062"/>
        </w:tabs>
        <w:spacing w:line="360" w:lineRule="auto"/>
        <w:rPr>
          <w:rFonts w:ascii="Times New Roman" w:eastAsiaTheme="minorEastAsia" w:hAnsi="Times New Roman"/>
          <w:noProof/>
          <w:sz w:val="28"/>
          <w:szCs w:val="28"/>
          <w:lang w:eastAsia="hu-HU"/>
        </w:rPr>
      </w:pPr>
      <w:hyperlink w:anchor="_Toc119566837" w:history="1">
        <w:r w:rsidR="0018452E" w:rsidRPr="0019638B">
          <w:rPr>
            <w:rStyle w:val="Hiperhivatkozs"/>
            <w:rFonts w:ascii="Times New Roman" w:hAnsi="Times New Roman"/>
            <w:noProof/>
            <w:sz w:val="28"/>
            <w:szCs w:val="28"/>
          </w:rPr>
          <w:t>3. A mélyszegénységben élők és a romák helyzete, esélyegyenlősége</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_Toc119566837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18</w:t>
        </w:r>
        <w:r w:rsidR="0018452E" w:rsidRPr="0019638B">
          <w:rPr>
            <w:rFonts w:ascii="Times New Roman" w:hAnsi="Times New Roman"/>
            <w:noProof/>
            <w:webHidden/>
            <w:sz w:val="28"/>
            <w:szCs w:val="28"/>
          </w:rPr>
          <w:fldChar w:fldCharType="end"/>
        </w:r>
      </w:hyperlink>
    </w:p>
    <w:p w:rsidR="0018452E" w:rsidRPr="0019638B" w:rsidRDefault="000B527A" w:rsidP="0019638B">
      <w:pPr>
        <w:pStyle w:val="TJ3"/>
        <w:tabs>
          <w:tab w:val="right" w:leader="dot" w:pos="9062"/>
        </w:tabs>
        <w:spacing w:line="360" w:lineRule="auto"/>
        <w:rPr>
          <w:rFonts w:ascii="Times New Roman" w:eastAsiaTheme="minorEastAsia" w:hAnsi="Times New Roman"/>
          <w:noProof/>
          <w:sz w:val="28"/>
          <w:szCs w:val="28"/>
          <w:lang w:eastAsia="hu-HU"/>
        </w:rPr>
      </w:pPr>
      <w:hyperlink w:anchor="_Toc119566838" w:history="1">
        <w:r w:rsidR="0018452E" w:rsidRPr="0019638B">
          <w:rPr>
            <w:rStyle w:val="Hiperhivatkozs"/>
            <w:rFonts w:ascii="Times New Roman" w:hAnsi="Times New Roman"/>
            <w:noProof/>
            <w:sz w:val="28"/>
            <w:szCs w:val="28"/>
          </w:rPr>
          <w:t>4. A gyermekek helyzete, esélyegyenlősége, gyermekszegénység</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_Toc119566838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51</w:t>
        </w:r>
        <w:r w:rsidR="0018452E" w:rsidRPr="0019638B">
          <w:rPr>
            <w:rFonts w:ascii="Times New Roman" w:hAnsi="Times New Roman"/>
            <w:noProof/>
            <w:webHidden/>
            <w:sz w:val="28"/>
            <w:szCs w:val="28"/>
          </w:rPr>
          <w:fldChar w:fldCharType="end"/>
        </w:r>
      </w:hyperlink>
    </w:p>
    <w:p w:rsidR="0018452E" w:rsidRPr="0019638B" w:rsidRDefault="000B527A" w:rsidP="0019638B">
      <w:pPr>
        <w:pStyle w:val="TJ3"/>
        <w:tabs>
          <w:tab w:val="right" w:leader="dot" w:pos="9062"/>
        </w:tabs>
        <w:spacing w:line="360" w:lineRule="auto"/>
        <w:rPr>
          <w:rFonts w:ascii="Times New Roman" w:eastAsiaTheme="minorEastAsia" w:hAnsi="Times New Roman"/>
          <w:noProof/>
          <w:sz w:val="28"/>
          <w:szCs w:val="28"/>
          <w:lang w:eastAsia="hu-HU"/>
        </w:rPr>
      </w:pPr>
      <w:hyperlink w:anchor="_Toc119566839" w:history="1">
        <w:r w:rsidR="0018452E" w:rsidRPr="0019638B">
          <w:rPr>
            <w:rStyle w:val="Hiperhivatkozs"/>
            <w:rFonts w:ascii="Times New Roman" w:hAnsi="Times New Roman"/>
            <w:noProof/>
            <w:sz w:val="28"/>
            <w:szCs w:val="28"/>
          </w:rPr>
          <w:t>5. A nők helyzete, esélyegyenlősége</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_Toc119566839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83</w:t>
        </w:r>
        <w:r w:rsidR="0018452E" w:rsidRPr="0019638B">
          <w:rPr>
            <w:rFonts w:ascii="Times New Roman" w:hAnsi="Times New Roman"/>
            <w:noProof/>
            <w:webHidden/>
            <w:sz w:val="28"/>
            <w:szCs w:val="28"/>
          </w:rPr>
          <w:fldChar w:fldCharType="end"/>
        </w:r>
      </w:hyperlink>
    </w:p>
    <w:p w:rsidR="0018452E" w:rsidRPr="0019638B" w:rsidRDefault="000B527A" w:rsidP="0019638B">
      <w:pPr>
        <w:pStyle w:val="TJ3"/>
        <w:tabs>
          <w:tab w:val="right" w:leader="dot" w:pos="9062"/>
        </w:tabs>
        <w:spacing w:line="360" w:lineRule="auto"/>
        <w:rPr>
          <w:rFonts w:ascii="Times New Roman" w:eastAsiaTheme="minorEastAsia" w:hAnsi="Times New Roman"/>
          <w:noProof/>
          <w:sz w:val="28"/>
          <w:szCs w:val="28"/>
          <w:lang w:eastAsia="hu-HU"/>
        </w:rPr>
      </w:pPr>
      <w:hyperlink w:anchor="_Toc119566840" w:history="1">
        <w:r w:rsidR="0018452E" w:rsidRPr="0019638B">
          <w:rPr>
            <w:rStyle w:val="Hiperhivatkozs"/>
            <w:rFonts w:ascii="Times New Roman" w:hAnsi="Times New Roman"/>
            <w:noProof/>
            <w:sz w:val="28"/>
            <w:szCs w:val="28"/>
          </w:rPr>
          <w:t>6. Az idősek helyzete, esélyegyenlősége</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_Toc119566840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98</w:t>
        </w:r>
        <w:r w:rsidR="0018452E" w:rsidRPr="0019638B">
          <w:rPr>
            <w:rFonts w:ascii="Times New Roman" w:hAnsi="Times New Roman"/>
            <w:noProof/>
            <w:webHidden/>
            <w:sz w:val="28"/>
            <w:szCs w:val="28"/>
          </w:rPr>
          <w:fldChar w:fldCharType="end"/>
        </w:r>
      </w:hyperlink>
    </w:p>
    <w:p w:rsidR="0018452E" w:rsidRPr="0019638B" w:rsidRDefault="000B527A" w:rsidP="0019638B">
      <w:pPr>
        <w:pStyle w:val="TJ3"/>
        <w:tabs>
          <w:tab w:val="right" w:leader="dot" w:pos="9062"/>
        </w:tabs>
        <w:spacing w:line="360" w:lineRule="auto"/>
        <w:rPr>
          <w:rFonts w:ascii="Times New Roman" w:eastAsiaTheme="minorEastAsia" w:hAnsi="Times New Roman"/>
          <w:noProof/>
          <w:sz w:val="28"/>
          <w:szCs w:val="28"/>
          <w:lang w:eastAsia="hu-HU"/>
        </w:rPr>
      </w:pPr>
      <w:hyperlink w:anchor="_Toc119566841" w:history="1">
        <w:r w:rsidR="0018452E" w:rsidRPr="0019638B">
          <w:rPr>
            <w:rStyle w:val="Hiperhivatkozs"/>
            <w:rFonts w:ascii="Times New Roman" w:hAnsi="Times New Roman"/>
            <w:noProof/>
            <w:sz w:val="28"/>
            <w:szCs w:val="28"/>
          </w:rPr>
          <w:t>7. A fogyatékkal élők helyzete, esélyegyenlősége</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_Toc119566841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110</w:t>
        </w:r>
        <w:r w:rsidR="0018452E" w:rsidRPr="0019638B">
          <w:rPr>
            <w:rFonts w:ascii="Times New Roman" w:hAnsi="Times New Roman"/>
            <w:noProof/>
            <w:webHidden/>
            <w:sz w:val="28"/>
            <w:szCs w:val="28"/>
          </w:rPr>
          <w:fldChar w:fldCharType="end"/>
        </w:r>
      </w:hyperlink>
    </w:p>
    <w:p w:rsidR="0018452E" w:rsidRPr="0019638B" w:rsidRDefault="000B527A" w:rsidP="0019638B">
      <w:pPr>
        <w:pStyle w:val="TJ3"/>
        <w:tabs>
          <w:tab w:val="right" w:leader="dot" w:pos="9062"/>
        </w:tabs>
        <w:spacing w:line="360" w:lineRule="auto"/>
        <w:ind w:left="709" w:hanging="309"/>
        <w:rPr>
          <w:rFonts w:ascii="Times New Roman" w:eastAsiaTheme="minorEastAsia" w:hAnsi="Times New Roman"/>
          <w:noProof/>
          <w:sz w:val="28"/>
          <w:szCs w:val="28"/>
          <w:lang w:eastAsia="hu-HU"/>
        </w:rPr>
      </w:pPr>
      <w:hyperlink w:anchor="_Toc119566842" w:history="1">
        <w:r w:rsidR="0018452E" w:rsidRPr="0019638B">
          <w:rPr>
            <w:rStyle w:val="Hiperhivatkozs"/>
            <w:rFonts w:ascii="Times New Roman" w:hAnsi="Times New Roman"/>
            <w:noProof/>
            <w:sz w:val="28"/>
            <w:szCs w:val="28"/>
          </w:rPr>
          <w:t>8. Helyi partnerség, lakossági önszerveződések, civil szervezetek és for-profit szereplők társadalmi felelősségvállalása</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_Toc119566842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122</w:t>
        </w:r>
        <w:r w:rsidR="0018452E" w:rsidRPr="0019638B">
          <w:rPr>
            <w:rFonts w:ascii="Times New Roman" w:hAnsi="Times New Roman"/>
            <w:noProof/>
            <w:webHidden/>
            <w:sz w:val="28"/>
            <w:szCs w:val="28"/>
          </w:rPr>
          <w:fldChar w:fldCharType="end"/>
        </w:r>
      </w:hyperlink>
    </w:p>
    <w:p w:rsidR="0018452E" w:rsidRPr="0019638B" w:rsidRDefault="000B527A" w:rsidP="0019638B">
      <w:pPr>
        <w:pStyle w:val="TJ3"/>
        <w:tabs>
          <w:tab w:val="right" w:leader="dot" w:pos="9062"/>
        </w:tabs>
        <w:spacing w:line="360" w:lineRule="auto"/>
        <w:rPr>
          <w:rFonts w:ascii="Times New Roman" w:eastAsiaTheme="minorEastAsia" w:hAnsi="Times New Roman"/>
          <w:noProof/>
          <w:sz w:val="28"/>
          <w:szCs w:val="28"/>
          <w:lang w:eastAsia="hu-HU"/>
        </w:rPr>
      </w:pPr>
      <w:hyperlink w:anchor="_Toc119566843" w:history="1">
        <w:r w:rsidR="0018452E" w:rsidRPr="0019638B">
          <w:rPr>
            <w:rStyle w:val="Hiperhivatkozs"/>
            <w:rFonts w:ascii="Times New Roman" w:hAnsi="Times New Roman"/>
            <w:noProof/>
            <w:sz w:val="28"/>
            <w:szCs w:val="28"/>
          </w:rPr>
          <w:t>9. A helyi esélyegyenlőségi program nyilvánossága</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_Toc119566843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124</w:t>
        </w:r>
        <w:r w:rsidR="0018452E" w:rsidRPr="0019638B">
          <w:rPr>
            <w:rFonts w:ascii="Times New Roman" w:hAnsi="Times New Roman"/>
            <w:noProof/>
            <w:webHidden/>
            <w:sz w:val="28"/>
            <w:szCs w:val="28"/>
          </w:rPr>
          <w:fldChar w:fldCharType="end"/>
        </w:r>
      </w:hyperlink>
    </w:p>
    <w:p w:rsidR="0018452E" w:rsidRPr="0019638B" w:rsidRDefault="000B527A" w:rsidP="0019638B">
      <w:pPr>
        <w:pStyle w:val="TJ2"/>
        <w:tabs>
          <w:tab w:val="right" w:leader="dot" w:pos="9062"/>
        </w:tabs>
        <w:spacing w:line="360" w:lineRule="auto"/>
        <w:rPr>
          <w:rFonts w:ascii="Times New Roman" w:eastAsiaTheme="minorEastAsia" w:hAnsi="Times New Roman"/>
          <w:noProof/>
          <w:sz w:val="28"/>
          <w:szCs w:val="28"/>
          <w:lang w:eastAsia="hu-HU"/>
        </w:rPr>
      </w:pPr>
      <w:hyperlink w:anchor="_Toc119566844" w:history="1">
        <w:r w:rsidR="0018452E" w:rsidRPr="0019638B">
          <w:rPr>
            <w:rStyle w:val="Hiperhivatkozs"/>
            <w:rFonts w:ascii="Times New Roman" w:hAnsi="Times New Roman"/>
            <w:noProof/>
            <w:sz w:val="28"/>
            <w:szCs w:val="28"/>
          </w:rPr>
          <w:t>A Helyi Esélyegyenlőségi Program Intézkedési Terve (HEP IT)</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_Toc119566844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125</w:t>
        </w:r>
        <w:r w:rsidR="0018452E" w:rsidRPr="0019638B">
          <w:rPr>
            <w:rFonts w:ascii="Times New Roman" w:hAnsi="Times New Roman"/>
            <w:noProof/>
            <w:webHidden/>
            <w:sz w:val="28"/>
            <w:szCs w:val="28"/>
          </w:rPr>
          <w:fldChar w:fldCharType="end"/>
        </w:r>
      </w:hyperlink>
    </w:p>
    <w:p w:rsidR="0018452E" w:rsidRPr="0019638B" w:rsidRDefault="000B527A" w:rsidP="0019638B">
      <w:pPr>
        <w:pStyle w:val="TJ3"/>
        <w:tabs>
          <w:tab w:val="right" w:leader="dot" w:pos="9062"/>
        </w:tabs>
        <w:spacing w:line="360" w:lineRule="auto"/>
        <w:rPr>
          <w:rFonts w:ascii="Times New Roman" w:eastAsiaTheme="minorEastAsia" w:hAnsi="Times New Roman"/>
          <w:noProof/>
          <w:sz w:val="28"/>
          <w:szCs w:val="28"/>
          <w:lang w:eastAsia="hu-HU"/>
        </w:rPr>
      </w:pPr>
      <w:hyperlink w:anchor="_Toc119566845" w:history="1">
        <w:r w:rsidR="0018452E" w:rsidRPr="0019638B">
          <w:rPr>
            <w:rStyle w:val="Hiperhivatkozs"/>
            <w:rFonts w:ascii="Times New Roman" w:hAnsi="Times New Roman"/>
            <w:noProof/>
            <w:sz w:val="28"/>
            <w:szCs w:val="28"/>
          </w:rPr>
          <w:t>1. A HEP IT részletei</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_Toc119566845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125</w:t>
        </w:r>
        <w:r w:rsidR="0018452E" w:rsidRPr="0019638B">
          <w:rPr>
            <w:rFonts w:ascii="Times New Roman" w:hAnsi="Times New Roman"/>
            <w:noProof/>
            <w:webHidden/>
            <w:sz w:val="28"/>
            <w:szCs w:val="28"/>
          </w:rPr>
          <w:fldChar w:fldCharType="end"/>
        </w:r>
      </w:hyperlink>
    </w:p>
    <w:p w:rsidR="0018452E" w:rsidRPr="0019638B" w:rsidRDefault="000B527A" w:rsidP="0019638B">
      <w:pPr>
        <w:pStyle w:val="TJ3"/>
        <w:tabs>
          <w:tab w:val="right" w:leader="dot" w:pos="9062"/>
        </w:tabs>
        <w:spacing w:line="360" w:lineRule="auto"/>
        <w:rPr>
          <w:rFonts w:ascii="Times New Roman" w:eastAsiaTheme="minorEastAsia" w:hAnsi="Times New Roman"/>
          <w:noProof/>
          <w:sz w:val="28"/>
          <w:szCs w:val="28"/>
          <w:lang w:eastAsia="hu-HU"/>
        </w:rPr>
      </w:pPr>
      <w:hyperlink w:anchor="_Toc119566846" w:history="1">
        <w:r w:rsidR="0018452E" w:rsidRPr="0019638B">
          <w:rPr>
            <w:rStyle w:val="Hiperhivatkozs"/>
            <w:rFonts w:ascii="Times New Roman" w:hAnsi="Times New Roman"/>
            <w:noProof/>
            <w:sz w:val="28"/>
            <w:szCs w:val="28"/>
          </w:rPr>
          <w:t>2. Összegző táblázat - A Helyi Esélyegyenlőségi Program Intézkedési Terve (HEP IT)</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_Toc119566846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127</w:t>
        </w:r>
        <w:r w:rsidR="0018452E" w:rsidRPr="0019638B">
          <w:rPr>
            <w:rFonts w:ascii="Times New Roman" w:hAnsi="Times New Roman"/>
            <w:noProof/>
            <w:webHidden/>
            <w:sz w:val="28"/>
            <w:szCs w:val="28"/>
          </w:rPr>
          <w:fldChar w:fldCharType="end"/>
        </w:r>
      </w:hyperlink>
    </w:p>
    <w:p w:rsidR="0018452E" w:rsidRPr="0019638B" w:rsidRDefault="000B527A" w:rsidP="0019638B">
      <w:pPr>
        <w:pStyle w:val="TJ3"/>
        <w:tabs>
          <w:tab w:val="right" w:leader="dot" w:pos="9062"/>
        </w:tabs>
        <w:spacing w:line="360" w:lineRule="auto"/>
        <w:rPr>
          <w:rFonts w:ascii="Times New Roman" w:eastAsiaTheme="minorEastAsia" w:hAnsi="Times New Roman"/>
          <w:noProof/>
          <w:sz w:val="28"/>
          <w:szCs w:val="28"/>
          <w:lang w:eastAsia="hu-HU"/>
        </w:rPr>
      </w:pPr>
      <w:hyperlink w:anchor="_Toc119566847" w:history="1">
        <w:r w:rsidR="0018452E" w:rsidRPr="0019638B">
          <w:rPr>
            <w:rStyle w:val="Hiperhivatkozs"/>
            <w:rFonts w:ascii="Times New Roman" w:hAnsi="Times New Roman"/>
            <w:noProof/>
            <w:sz w:val="28"/>
            <w:szCs w:val="28"/>
          </w:rPr>
          <w:t>3. Megvalósítás</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_Toc119566847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156</w:t>
        </w:r>
        <w:r w:rsidR="0018452E" w:rsidRPr="0019638B">
          <w:rPr>
            <w:rFonts w:ascii="Times New Roman" w:hAnsi="Times New Roman"/>
            <w:noProof/>
            <w:webHidden/>
            <w:sz w:val="28"/>
            <w:szCs w:val="28"/>
          </w:rPr>
          <w:fldChar w:fldCharType="end"/>
        </w:r>
      </w:hyperlink>
    </w:p>
    <w:p w:rsidR="0018452E" w:rsidRPr="0019638B" w:rsidRDefault="000B527A" w:rsidP="0019638B">
      <w:pPr>
        <w:pStyle w:val="TJ3"/>
        <w:tabs>
          <w:tab w:val="right" w:leader="dot" w:pos="9062"/>
        </w:tabs>
        <w:spacing w:line="360" w:lineRule="auto"/>
        <w:rPr>
          <w:rFonts w:ascii="Times New Roman" w:eastAsiaTheme="minorEastAsia" w:hAnsi="Times New Roman"/>
          <w:noProof/>
          <w:sz w:val="28"/>
          <w:szCs w:val="28"/>
          <w:lang w:eastAsia="hu-HU"/>
        </w:rPr>
      </w:pPr>
      <w:hyperlink w:anchor="_Toc119566848" w:history="1">
        <w:r w:rsidR="0018452E" w:rsidRPr="0019638B">
          <w:rPr>
            <w:rStyle w:val="Hiperhivatkozs"/>
            <w:rFonts w:ascii="Times New Roman" w:hAnsi="Times New Roman"/>
            <w:noProof/>
            <w:sz w:val="28"/>
            <w:szCs w:val="28"/>
          </w:rPr>
          <w:t>4. Elfogadás módja és dátuma</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_Toc119566848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161</w:t>
        </w:r>
        <w:r w:rsidR="0018452E" w:rsidRPr="0019638B">
          <w:rPr>
            <w:rFonts w:ascii="Times New Roman" w:hAnsi="Times New Roman"/>
            <w:noProof/>
            <w:webHidden/>
            <w:sz w:val="28"/>
            <w:szCs w:val="28"/>
          </w:rPr>
          <w:fldChar w:fldCharType="end"/>
        </w:r>
      </w:hyperlink>
    </w:p>
    <w:p w:rsidR="00A94468" w:rsidRPr="0019638B" w:rsidRDefault="0018452E" w:rsidP="0019638B">
      <w:pPr>
        <w:tabs>
          <w:tab w:val="right" w:leader="dot" w:pos="9638"/>
          <w:tab w:val="right" w:leader="dot" w:pos="9639"/>
        </w:tabs>
        <w:spacing w:line="360" w:lineRule="auto"/>
        <w:rPr>
          <w:rFonts w:ascii="Times New Roman" w:hAnsi="Times New Roman"/>
          <w:sz w:val="28"/>
          <w:szCs w:val="28"/>
        </w:rPr>
      </w:pPr>
      <w:r w:rsidRPr="0019638B">
        <w:rPr>
          <w:rFonts w:ascii="Times New Roman" w:hAnsi="Times New Roman"/>
          <w:sz w:val="28"/>
          <w:szCs w:val="28"/>
        </w:rPr>
        <w:fldChar w:fldCharType="end"/>
      </w:r>
    </w:p>
    <w:p w:rsidR="0019638B" w:rsidRDefault="0019638B">
      <w:pPr>
        <w:suppressAutoHyphens w:val="0"/>
        <w:spacing w:after="160" w:line="259" w:lineRule="auto"/>
        <w:jc w:val="left"/>
        <w:rPr>
          <w:rFonts w:ascii="Times New Roman" w:hAnsi="Times New Roman"/>
          <w:sz w:val="20"/>
          <w:szCs w:val="20"/>
        </w:rPr>
      </w:pPr>
      <w:r>
        <w:rPr>
          <w:rFonts w:ascii="Times New Roman" w:hAnsi="Times New Roman"/>
          <w:sz w:val="20"/>
          <w:szCs w:val="20"/>
        </w:rPr>
        <w:br w:type="page"/>
      </w:r>
    </w:p>
    <w:p w:rsidR="00A94468" w:rsidRPr="00363517" w:rsidRDefault="00A94468" w:rsidP="00A94468">
      <w:pPr>
        <w:pStyle w:val="Cmsor1"/>
        <w:shd w:val="clear" w:color="auto" w:fill="auto"/>
        <w:rPr>
          <w:rFonts w:ascii="Times New Roman" w:hAnsi="Times New Roman" w:cs="Times New Roman"/>
          <w:sz w:val="24"/>
          <w:szCs w:val="24"/>
        </w:rPr>
      </w:pPr>
      <w:bookmarkStart w:id="0" w:name="__RefHeading__21_1906745769"/>
      <w:bookmarkStart w:id="1" w:name="_Toc49500640"/>
      <w:bookmarkStart w:id="2" w:name="_Toc119566829"/>
      <w:bookmarkEnd w:id="0"/>
      <w:r w:rsidRPr="00363517">
        <w:rPr>
          <w:rFonts w:ascii="Times New Roman" w:hAnsi="Times New Roman" w:cs="Times New Roman"/>
          <w:sz w:val="24"/>
          <w:szCs w:val="24"/>
        </w:rPr>
        <w:lastRenderedPageBreak/>
        <w:t>Helyi Esélyegyenlőségi Program (HEP)</w:t>
      </w:r>
      <w:bookmarkEnd w:id="1"/>
      <w:bookmarkEnd w:id="2"/>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rPr>
      </w:pPr>
    </w:p>
    <w:p w:rsidR="00A94468" w:rsidRPr="00363517" w:rsidRDefault="00A94468" w:rsidP="00A94468">
      <w:pPr>
        <w:pStyle w:val="Cmsor2"/>
        <w:rPr>
          <w:rFonts w:ascii="Times New Roman" w:hAnsi="Times New Roman"/>
        </w:rPr>
      </w:pPr>
      <w:bookmarkStart w:id="3" w:name="__RefHeading__23_1906745769"/>
      <w:bookmarkStart w:id="4" w:name="_Toc49500641"/>
      <w:bookmarkStart w:id="5" w:name="_Toc119566830"/>
      <w:bookmarkEnd w:id="3"/>
      <w:r w:rsidRPr="00363517">
        <w:rPr>
          <w:rFonts w:ascii="Times New Roman" w:hAnsi="Times New Roman"/>
        </w:rPr>
        <w:t>Bevezetés</w:t>
      </w:r>
      <w:bookmarkEnd w:id="4"/>
      <w:bookmarkEnd w:id="5"/>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bCs/>
          <w:sz w:val="24"/>
        </w:rPr>
      </w:pPr>
      <w:r w:rsidRPr="00363517">
        <w:rPr>
          <w:rFonts w:ascii="Times New Roman" w:hAnsi="Times New Roman"/>
          <w:sz w:val="24"/>
        </w:rPr>
        <w:t xml:space="preserve">Összhangban az Egyenlő Bánásmódról és az Esélyegyenlőség Előmozdításáról szóló 2003. évi CXXV. törvény, a </w:t>
      </w:r>
      <w:r w:rsidRPr="00363517">
        <w:rPr>
          <w:rFonts w:ascii="Times New Roman" w:hAnsi="Times New Roman"/>
          <w:bCs/>
          <w:sz w:val="24"/>
        </w:rPr>
        <w:t xml:space="preserve">helyi esélyegyenlőségi programok elkészítésének szabályairól és az esélyegyenlőségi mentorokról szóló </w:t>
      </w:r>
      <w:r w:rsidRPr="00690C01">
        <w:rPr>
          <w:rFonts w:ascii="Times New Roman" w:hAnsi="Times New Roman"/>
          <w:bCs/>
          <w:color w:val="000000"/>
          <w:sz w:val="24"/>
        </w:rPr>
        <w:t>2021. június 30-án módosított 321/2011. (XII. 27.) Korm. rendelet alapján megjelent Belügyminisztérium „Módszertani útmutató a helyi esélyegyenlőségi programok elkészítésének szempontjaihoz és a program felülvizsgálatához” c. dokumentum szerint kialakítva,</w:t>
      </w:r>
      <w:r w:rsidRPr="00363517">
        <w:rPr>
          <w:rFonts w:ascii="Times New Roman" w:hAnsi="Times New Roman"/>
          <w:bCs/>
          <w:sz w:val="24"/>
        </w:rPr>
        <w:t xml:space="preserve"> </w:t>
      </w:r>
      <w:r w:rsidRPr="00363517">
        <w:rPr>
          <w:rFonts w:ascii="Times New Roman" w:hAnsi="Times New Roman"/>
          <w:sz w:val="24"/>
        </w:rPr>
        <w:t xml:space="preserve">Csorvás Város Önkormányzata Esélyegyenlőségi Programban rögzíti az esélyegyenlőség érdekében szükséges feladatokat. </w:t>
      </w:r>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rPr>
      </w:pPr>
      <w:r w:rsidRPr="00363517">
        <w:rPr>
          <w:rFonts w:ascii="Times New Roman" w:hAnsi="Times New Roman"/>
          <w:sz w:val="24"/>
        </w:rPr>
        <w:t>Az önkormányzat vállalja, hogy az elkészült és elfogadott Esélyegyenlőségi Programmal összehangolja a település más dokumentumait</w:t>
      </w:r>
      <w:r w:rsidRPr="00363517">
        <w:rPr>
          <w:rStyle w:val="Lbjegyzet-karakterek"/>
          <w:rFonts w:ascii="Times New Roman" w:hAnsi="Times New Roman"/>
          <w:sz w:val="24"/>
        </w:rPr>
        <w:footnoteReference w:id="1"/>
      </w:r>
      <w:r w:rsidRPr="00363517">
        <w:rPr>
          <w:rFonts w:ascii="Times New Roman" w:hAnsi="Times New Roman"/>
          <w:sz w:val="24"/>
        </w:rPr>
        <w:t xml:space="preserve">, valamint az önkormányzat fenntartásában lévő intézmények működtetését. Vállalja továbbá, hogy az Esélyegyenlőségi Program elkészítése során bevonja partneri kapcsolatrendszerét, különös tekintettel a köznevelés állami és nem állami intézményfenntartóira. </w:t>
      </w:r>
    </w:p>
    <w:p w:rsidR="00A94468" w:rsidRPr="00363517" w:rsidRDefault="00A94468" w:rsidP="00A94468">
      <w:pPr>
        <w:rPr>
          <w:rFonts w:ascii="Times New Roman" w:hAnsi="Times New Roman"/>
          <w:sz w:val="24"/>
        </w:rPr>
      </w:pPr>
      <w:r w:rsidRPr="00363517">
        <w:rPr>
          <w:rFonts w:ascii="Times New Roman" w:hAnsi="Times New Roman"/>
          <w:sz w:val="24"/>
        </w:rPr>
        <w:t>Jelen helyzetelemzés az Esélyegyenlőségi Program megalapozását szolgálja.</w:t>
      </w:r>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rPr>
      </w:pPr>
    </w:p>
    <w:p w:rsidR="00A94468" w:rsidRPr="00363517" w:rsidRDefault="00A94468" w:rsidP="00A94468">
      <w:pPr>
        <w:pStyle w:val="Cmsor2"/>
        <w:rPr>
          <w:rFonts w:ascii="Times New Roman" w:hAnsi="Times New Roman"/>
        </w:rPr>
      </w:pPr>
      <w:bookmarkStart w:id="6" w:name="__RefHeading__25_1906745769"/>
      <w:bookmarkStart w:id="7" w:name="_Toc49500642"/>
      <w:bookmarkStart w:id="8" w:name="_Toc119566831"/>
      <w:bookmarkEnd w:id="6"/>
      <w:r w:rsidRPr="00363517">
        <w:rPr>
          <w:rFonts w:ascii="Times New Roman" w:hAnsi="Times New Roman"/>
        </w:rPr>
        <w:t>A település bemutatása</w:t>
      </w:r>
      <w:bookmarkEnd w:id="7"/>
      <w:bookmarkEnd w:id="8"/>
    </w:p>
    <w:p w:rsidR="00A94468" w:rsidRPr="00363517" w:rsidRDefault="00A94468" w:rsidP="00A94468">
      <w:pPr>
        <w:rPr>
          <w:rFonts w:ascii="Times New Roman" w:hAnsi="Times New Roman"/>
          <w:sz w:val="24"/>
        </w:rPr>
      </w:pPr>
      <w:r w:rsidRPr="00363517">
        <w:rPr>
          <w:rFonts w:ascii="Times New Roman" w:hAnsi="Times New Roman"/>
          <w:sz w:val="24"/>
        </w:rPr>
        <w:br/>
        <w:t>Csorvás város az ország délkeleti részén, a Tisza-Körös-Maros közötti területen, a Békés-Csanádi löszhát északkeleti, a Békési-sík délnyugati határán, Békés megye nyugati felén található. A várost átszeli a 47. számú főút és a Szeged-Békéscsaba vasútvonal, Békéscsabától 22, Orosházától 16 km-re található.</w:t>
      </w:r>
    </w:p>
    <w:p w:rsidR="00A94468" w:rsidRPr="00363517" w:rsidRDefault="00A94468" w:rsidP="00A94468">
      <w:pPr>
        <w:pStyle w:val="Szvegtrzs21"/>
        <w:rPr>
          <w:szCs w:val="24"/>
        </w:rPr>
      </w:pPr>
    </w:p>
    <w:p w:rsidR="00A94468" w:rsidRPr="00363517" w:rsidRDefault="00A94468" w:rsidP="00A94468">
      <w:pPr>
        <w:pStyle w:val="Szvegtrzs21"/>
        <w:rPr>
          <w:szCs w:val="24"/>
        </w:rPr>
      </w:pPr>
      <w:r w:rsidRPr="00363517">
        <w:rPr>
          <w:szCs w:val="24"/>
        </w:rPr>
        <w:t xml:space="preserve">A Csorvás területén településnyomok az újkőkorszaktól kezdve találhatók. Régészeti kutatások bizonyítják, hogy a település lakott volt a réz-, a bronz- a vaskorban, ugyanúgy, mint a római, az avarkorban és a népvándorlás idején is. Ásatások eredményeire alapozva állítják, hogy templomos falu volt az Árpád kor közepén, az 1150-es években. Az Árpád-kori és az erre épült középkori templomot 1997-ben tárták fel. Csorvás első írásos említése az 1456-os évre tehető, amikor V. László Hunyadi Jánosnak adományozta a települést a nándorfehérvári diadal után. Később 1458-ban Mátyás király a Gerlai Ábrahámffy Tamásnak adományozta az akkori Csorvást, ami a török megszállásig Ábarhámffy birtok volt. 1566-ban a törökök megszállták Csorvást, s az szultáni birtokrész lett. Ekkor a község a megye öt legnagyobb települése közé tartozott. Az akkori iratokban szereplő „Chorvas” és „Cyorvas” szláv eredetű szavak (homok) utalnak a környék jellegzetes talajféleségére. </w:t>
      </w:r>
    </w:p>
    <w:p w:rsidR="00A94468" w:rsidRPr="00363517" w:rsidRDefault="00A94468" w:rsidP="00A94468">
      <w:pPr>
        <w:pStyle w:val="Szvegtrzs21"/>
        <w:rPr>
          <w:szCs w:val="24"/>
        </w:rPr>
      </w:pPr>
    </w:p>
    <w:p w:rsidR="00A94468" w:rsidRPr="00363517" w:rsidRDefault="00A94468" w:rsidP="00A94468">
      <w:pPr>
        <w:pStyle w:val="Szvegtrzs21"/>
        <w:rPr>
          <w:szCs w:val="24"/>
        </w:rPr>
      </w:pPr>
      <w:r w:rsidRPr="00363517">
        <w:rPr>
          <w:szCs w:val="24"/>
        </w:rPr>
        <w:t xml:space="preserve">1595-1596-ban a török oldalán harcoló tatár segédcsapatok az egész megyét, így Csorvást is elpusztították, s az hosszú időre lakatlan pusztává vált. A török kiverése után, 1723-ban a területet br. Harruckern János kapta meg, aki bérbeadás útján hasznosította azt. Leghosszabb ideig Gyula városa bérelte, így főleg az ő jobbágyai telepítették be a pusztát. 1857. december 3-ától önálló adózó település, postával (1858), vasútállomással (1871), intézményhálózattal, </w:t>
      </w:r>
      <w:r w:rsidRPr="00363517">
        <w:rPr>
          <w:szCs w:val="24"/>
        </w:rPr>
        <w:lastRenderedPageBreak/>
        <w:t xml:space="preserve">iskolarendszerrel. A föld megműveléséhez munkaerőre volt szükség, ezért megkezdődött a lakosság betelepítése az osztrák birodalom minden részéről. </w:t>
      </w:r>
    </w:p>
    <w:p w:rsidR="00A94468" w:rsidRPr="00363517" w:rsidRDefault="00A94468" w:rsidP="00A94468">
      <w:pPr>
        <w:pStyle w:val="Szvegtrzs21"/>
        <w:rPr>
          <w:szCs w:val="24"/>
        </w:rPr>
      </w:pPr>
    </w:p>
    <w:p w:rsidR="00A94468" w:rsidRPr="00363517" w:rsidRDefault="00A94468" w:rsidP="00A94468">
      <w:pPr>
        <w:pStyle w:val="Szvegtrzs21"/>
        <w:rPr>
          <w:szCs w:val="24"/>
        </w:rPr>
      </w:pPr>
      <w:r w:rsidRPr="00363517">
        <w:rPr>
          <w:szCs w:val="24"/>
        </w:rPr>
        <w:t>A XX. század fordulóján a lakosság 75 %-a magyar, 20 %-a szlovák, 2,5 %-a román, 2,5 %-a zsidó vallású német. A lakosság öt vallási felekezethez tartozott: katolikus, evangélikus, református, román ortodox, zsidó. A település határa a századfordulón 15.638 kh volt, melyből 3.393 kh gróf Wenckheim Géza, 2.982 kh Wenckheim Henrik, 912 kh Almássy Kálmánné, 789 kh Wodiáner Viktor, 291 kh pedig gróf Károlyi Gyula birtokában volt.</w:t>
      </w:r>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rPr>
      </w:pPr>
      <w:r w:rsidRPr="00363517">
        <w:rPr>
          <w:rFonts w:ascii="Times New Roman" w:hAnsi="Times New Roman"/>
          <w:sz w:val="24"/>
        </w:rPr>
        <w:t>Ebben az időben alakult ki a település utcáinak sakktáblaszerű rendszere, amely a mai napig jellemző Csorvásra. A század elejétől, 1950-ig, majd 1970-től ismét nagyközség, 2005. július 1-től város.</w:t>
      </w:r>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color w:val="000000"/>
          <w:sz w:val="24"/>
        </w:rPr>
      </w:pPr>
      <w:r w:rsidRPr="00363517">
        <w:rPr>
          <w:rFonts w:ascii="Times New Roman" w:hAnsi="Times New Roman"/>
          <w:sz w:val="24"/>
        </w:rPr>
        <w:t xml:space="preserve">A település agrár jellegű, mert földjei kiválóan alkalmasak mezőgazdasági termelésre. </w:t>
      </w:r>
    </w:p>
    <w:p w:rsidR="00A94468" w:rsidRPr="00690C01" w:rsidRDefault="00A94468" w:rsidP="00A94468">
      <w:pPr>
        <w:rPr>
          <w:rFonts w:ascii="Times New Roman" w:hAnsi="Times New Roman"/>
          <w:color w:val="000000"/>
          <w:sz w:val="24"/>
        </w:rPr>
      </w:pPr>
      <w:r w:rsidRPr="00363517">
        <w:rPr>
          <w:rFonts w:ascii="Times New Roman" w:hAnsi="Times New Roman"/>
          <w:sz w:val="24"/>
        </w:rPr>
        <w:t xml:space="preserve">A városhoz köthető jelentős személyek: a Bartók család anyai ága, Voit Ervin festőművész, Páter Szőke János szalézi szerzetes, Zalai György politikus, közíró, </w:t>
      </w:r>
      <w:r w:rsidRPr="00690C01">
        <w:rPr>
          <w:rFonts w:ascii="Times New Roman" w:hAnsi="Times New Roman"/>
          <w:color w:val="000000"/>
          <w:sz w:val="24"/>
        </w:rPr>
        <w:t>Dr. Fehér Dezső állatorvos, genetikus, Kincsem-kutató, a magyar lovassport atyja.</w:t>
      </w:r>
    </w:p>
    <w:p w:rsidR="00A94468" w:rsidRPr="00363517" w:rsidRDefault="00A94468" w:rsidP="00A94468">
      <w:pPr>
        <w:rPr>
          <w:rFonts w:ascii="Times New Roman" w:hAnsi="Times New Roman"/>
          <w:sz w:val="24"/>
          <w:shd w:val="clear" w:color="auto" w:fill="00FF00"/>
        </w:rPr>
      </w:pPr>
    </w:p>
    <w:p w:rsidR="00A94468" w:rsidRPr="00363517" w:rsidRDefault="00A94468" w:rsidP="00A94468">
      <w:pPr>
        <w:pStyle w:val="Tblacm"/>
        <w:keepNext w:val="0"/>
        <w:rPr>
          <w:rFonts w:ascii="Times New Roman" w:hAnsi="Times New Roman"/>
          <w:sz w:val="24"/>
        </w:rPr>
      </w:pPr>
      <w:r w:rsidRPr="00363517">
        <w:rPr>
          <w:rFonts w:ascii="Times New Roman" w:hAnsi="Times New Roman"/>
          <w:sz w:val="24"/>
        </w:rPr>
        <w:t>Demográfia tekintetében a történelem viharaiban kétszer elpusztult Csorvás harmadik újjáépítése után, 1857. után a XIX. század fordulójáig a népesség jelentős növekedése volt jellemző. A két világháború jelentős számú csorvási áldozatot is követelt, 1910 és 1949 között a növekedés érzékelhetően lelassult, majd tendenciát váltott egészen a tavalyi, 2017-es évig.</w:t>
      </w:r>
    </w:p>
    <w:p w:rsidR="00A94468" w:rsidRDefault="00A94468" w:rsidP="00A94468">
      <w:pPr>
        <w:pStyle w:val="Tblacm"/>
        <w:keepNext w:val="0"/>
        <w:rPr>
          <w:rFonts w:ascii="Times New Roman" w:hAnsi="Times New Roman"/>
          <w:sz w:val="24"/>
        </w:rPr>
      </w:pPr>
    </w:p>
    <w:p w:rsidR="00A94468" w:rsidRDefault="00A94468" w:rsidP="00A94468">
      <w:pPr>
        <w:pStyle w:val="Tblacm"/>
        <w:keepNext w:val="0"/>
        <w:rPr>
          <w:rFonts w:ascii="Times New Roman" w:hAnsi="Times New Roman"/>
          <w:sz w:val="24"/>
        </w:rPr>
      </w:pPr>
    </w:p>
    <w:p w:rsidR="00A94468" w:rsidRPr="00363517" w:rsidRDefault="00A94468" w:rsidP="00A94468">
      <w:pPr>
        <w:pStyle w:val="Tblacm"/>
        <w:keepNext w:val="0"/>
        <w:rPr>
          <w:rFonts w:ascii="Times New Roman" w:hAnsi="Times New Roman"/>
          <w:sz w:val="24"/>
        </w:rPr>
      </w:pPr>
    </w:p>
    <w:p w:rsidR="00A94468" w:rsidRPr="00425F98" w:rsidRDefault="00A94468" w:rsidP="00A94468">
      <w:pPr>
        <w:pStyle w:val="Tblacm"/>
        <w:keepNext w:val="0"/>
        <w:rPr>
          <w:rFonts w:ascii="Times New Roman" w:hAnsi="Times New Roman"/>
          <w:sz w:val="24"/>
        </w:rPr>
      </w:pPr>
      <w:r w:rsidRPr="00363517">
        <w:rPr>
          <w:rFonts w:ascii="Times New Roman" w:hAnsi="Times New Roman"/>
          <w:sz w:val="24"/>
        </w:rPr>
        <w:t xml:space="preserve">A </w:t>
      </w:r>
      <w:r w:rsidRPr="00363517">
        <w:rPr>
          <w:rFonts w:ascii="Times New Roman" w:hAnsi="Times New Roman"/>
          <w:b/>
          <w:sz w:val="24"/>
        </w:rPr>
        <w:t>lakónépességet</w:t>
      </w:r>
      <w:r w:rsidRPr="00363517">
        <w:rPr>
          <w:rFonts w:ascii="Times New Roman" w:hAnsi="Times New Roman"/>
          <w:sz w:val="24"/>
        </w:rPr>
        <w:t xml:space="preserve"> úgy értjük, mint az adott területen lakóhellyel rendelkező, de másutt tartózkodási hellyel nem rendelkező személyek, valamint az ugyanezen a területen tartózkodási hellyel rendelkező személyek együttes száma.</w:t>
      </w:r>
    </w:p>
    <w:p w:rsidR="00A94468" w:rsidRDefault="00A94468" w:rsidP="00A94468">
      <w:pPr>
        <w:rPr>
          <w:rFonts w:ascii="Times New Roman" w:hAnsi="Times New Roman"/>
          <w:sz w:val="24"/>
          <w:shd w:val="clear" w:color="auto" w:fill="00FF00"/>
        </w:rPr>
      </w:pPr>
    </w:p>
    <w:p w:rsidR="00A94468" w:rsidRPr="00363517" w:rsidRDefault="00A94468" w:rsidP="00A94468">
      <w:pPr>
        <w:rPr>
          <w:rFonts w:ascii="Times New Roman" w:hAnsi="Times New Roman"/>
          <w:sz w:val="24"/>
          <w:shd w:val="clear" w:color="auto" w:fill="00FF00"/>
        </w:rPr>
      </w:pPr>
    </w:p>
    <w:p w:rsidR="00A94468" w:rsidRPr="00363517" w:rsidRDefault="00A94468" w:rsidP="00A94468">
      <w:pPr>
        <w:pStyle w:val="Tblacm"/>
        <w:rPr>
          <w:rFonts w:ascii="Times New Roman" w:hAnsi="Times New Roman"/>
          <w:sz w:val="24"/>
          <w:szCs w:val="24"/>
          <w:shd w:val="clear" w:color="auto" w:fill="00FF00"/>
        </w:rPr>
      </w:pPr>
      <w:r w:rsidRPr="00363517">
        <w:rPr>
          <w:rFonts w:ascii="Times New Roman" w:hAnsi="Times New Roman"/>
          <w:sz w:val="24"/>
          <w:szCs w:val="24"/>
          <w:shd w:val="clear" w:color="auto" w:fill="00FF00"/>
        </w:rPr>
        <w:t>1. számú táblázat - Lakónépesség száma az év végén</w:t>
      </w:r>
    </w:p>
    <w:p w:rsidR="00A94468" w:rsidRPr="00363517" w:rsidRDefault="00A94468" w:rsidP="00A94468">
      <w:pPr>
        <w:pStyle w:val="Tblacm"/>
        <w:rPr>
          <w:rFonts w:ascii="Times New Roman" w:hAnsi="Times New Roman"/>
          <w:sz w:val="24"/>
          <w:szCs w:val="24"/>
          <w:shd w:val="clear" w:color="auto" w:fill="00FF00"/>
        </w:rPr>
      </w:pPr>
    </w:p>
    <w:tbl>
      <w:tblPr>
        <w:tblW w:w="5040" w:type="dxa"/>
        <w:tblInd w:w="75" w:type="dxa"/>
        <w:tblCellMar>
          <w:left w:w="70" w:type="dxa"/>
          <w:right w:w="70" w:type="dxa"/>
        </w:tblCellMar>
        <w:tblLook w:val="04A0" w:firstRow="1" w:lastRow="0" w:firstColumn="1" w:lastColumn="0" w:noHBand="0" w:noVBand="1"/>
      </w:tblPr>
      <w:tblGrid>
        <w:gridCol w:w="1720"/>
        <w:gridCol w:w="1600"/>
        <w:gridCol w:w="1720"/>
      </w:tblGrid>
      <w:tr w:rsidR="00A94468" w:rsidRPr="00425F98" w:rsidTr="00EE4471">
        <w:trPr>
          <w:trHeight w:val="1635"/>
        </w:trPr>
        <w:tc>
          <w:tcPr>
            <w:tcW w:w="1720" w:type="dxa"/>
            <w:tcBorders>
              <w:top w:val="single" w:sz="4" w:space="0" w:color="auto"/>
              <w:left w:val="single" w:sz="4" w:space="0" w:color="auto"/>
              <w:bottom w:val="single" w:sz="4" w:space="0" w:color="auto"/>
              <w:right w:val="single" w:sz="4" w:space="0" w:color="auto"/>
            </w:tcBorders>
            <w:shd w:val="clear" w:color="000000" w:fill="E2EFDA"/>
            <w:noWrap/>
            <w:vAlign w:val="center"/>
          </w:tcPr>
          <w:p w:rsidR="00A94468" w:rsidRPr="00425F98" w:rsidRDefault="00A94468" w:rsidP="00EE4471">
            <w:pPr>
              <w:suppressAutoHyphens w:val="0"/>
              <w:jc w:val="center"/>
              <w:rPr>
                <w:rFonts w:cs="Calibri"/>
                <w:b/>
                <w:bCs/>
                <w:szCs w:val="22"/>
                <w:lang w:eastAsia="hu-HU"/>
              </w:rPr>
            </w:pPr>
            <w:bookmarkStart w:id="9" w:name="__RefHeading__27_1906745769"/>
            <w:bookmarkStart w:id="10" w:name="__RefHeading__29_1906745769"/>
            <w:bookmarkEnd w:id="9"/>
            <w:bookmarkEnd w:id="10"/>
            <w:r w:rsidRPr="00425F98">
              <w:rPr>
                <w:rFonts w:cs="Calibri"/>
                <w:b/>
                <w:bCs/>
                <w:szCs w:val="22"/>
                <w:lang w:eastAsia="hu-HU"/>
              </w:rPr>
              <w:t>Év</w:t>
            </w:r>
          </w:p>
        </w:tc>
        <w:tc>
          <w:tcPr>
            <w:tcW w:w="1600" w:type="dxa"/>
            <w:tcBorders>
              <w:top w:val="single" w:sz="4" w:space="0" w:color="auto"/>
              <w:left w:val="nil"/>
              <w:bottom w:val="single" w:sz="4" w:space="0" w:color="auto"/>
              <w:right w:val="single" w:sz="4" w:space="0" w:color="auto"/>
            </w:tcBorders>
            <w:shd w:val="clear" w:color="000000" w:fill="E2EFDA"/>
            <w:vAlign w:val="center"/>
          </w:tcPr>
          <w:p w:rsidR="00A94468" w:rsidRPr="00425F98" w:rsidRDefault="00A94468" w:rsidP="00EE4471">
            <w:pPr>
              <w:suppressAutoHyphens w:val="0"/>
              <w:jc w:val="center"/>
              <w:rPr>
                <w:rFonts w:cs="Calibri"/>
                <w:b/>
                <w:bCs/>
                <w:szCs w:val="22"/>
                <w:lang w:eastAsia="hu-HU"/>
              </w:rPr>
            </w:pPr>
            <w:r w:rsidRPr="00425F98">
              <w:rPr>
                <w:rFonts w:cs="Calibri"/>
                <w:b/>
                <w:bCs/>
                <w:szCs w:val="22"/>
                <w:lang w:eastAsia="hu-HU"/>
              </w:rPr>
              <w:t>Fő</w:t>
            </w:r>
            <w:r w:rsidRPr="00425F98">
              <w:rPr>
                <w:rFonts w:cs="Calibri"/>
                <w:b/>
                <w:bCs/>
                <w:szCs w:val="22"/>
                <w:lang w:eastAsia="hu-HU"/>
              </w:rPr>
              <w:br/>
            </w:r>
            <w:r w:rsidRPr="00425F98">
              <w:rPr>
                <w:rFonts w:cs="Calibri"/>
                <w:szCs w:val="22"/>
                <w:lang w:eastAsia="hu-HU"/>
              </w:rPr>
              <w:t>(TS 001)</w:t>
            </w:r>
          </w:p>
        </w:tc>
        <w:tc>
          <w:tcPr>
            <w:tcW w:w="1720" w:type="dxa"/>
            <w:tcBorders>
              <w:top w:val="single" w:sz="4" w:space="0" w:color="auto"/>
              <w:left w:val="nil"/>
              <w:bottom w:val="single" w:sz="4" w:space="0" w:color="auto"/>
              <w:right w:val="single" w:sz="4" w:space="0" w:color="auto"/>
            </w:tcBorders>
            <w:shd w:val="clear" w:color="000000" w:fill="E2EFDA"/>
            <w:noWrap/>
            <w:vAlign w:val="center"/>
          </w:tcPr>
          <w:p w:rsidR="00A94468" w:rsidRPr="00425F98" w:rsidRDefault="00A94468" w:rsidP="00EE4471">
            <w:pPr>
              <w:suppressAutoHyphens w:val="0"/>
              <w:jc w:val="center"/>
              <w:rPr>
                <w:rFonts w:cs="Calibri"/>
                <w:b/>
                <w:bCs/>
                <w:szCs w:val="22"/>
                <w:lang w:eastAsia="hu-HU"/>
              </w:rPr>
            </w:pPr>
            <w:r w:rsidRPr="00425F98">
              <w:rPr>
                <w:rFonts w:cs="Calibri"/>
                <w:b/>
                <w:bCs/>
                <w:szCs w:val="22"/>
                <w:lang w:eastAsia="hu-HU"/>
              </w:rPr>
              <w:t>Változás</w:t>
            </w:r>
          </w:p>
        </w:tc>
      </w:tr>
      <w:tr w:rsidR="00A94468" w:rsidRPr="00425F98" w:rsidTr="00EE4471">
        <w:trPr>
          <w:trHeight w:val="600"/>
        </w:trPr>
        <w:tc>
          <w:tcPr>
            <w:tcW w:w="1720" w:type="dxa"/>
            <w:tcBorders>
              <w:top w:val="nil"/>
              <w:left w:val="single" w:sz="4" w:space="0" w:color="auto"/>
              <w:bottom w:val="single" w:sz="4" w:space="0" w:color="auto"/>
              <w:right w:val="single" w:sz="4" w:space="0" w:color="auto"/>
            </w:tcBorders>
            <w:shd w:val="clear" w:color="auto" w:fill="auto"/>
            <w:vAlign w:val="center"/>
          </w:tcPr>
          <w:p w:rsidR="00A94468" w:rsidRPr="00425F98" w:rsidRDefault="00A94468" w:rsidP="00EE4471">
            <w:pPr>
              <w:suppressAutoHyphens w:val="0"/>
              <w:jc w:val="center"/>
              <w:rPr>
                <w:rFonts w:cs="Calibri"/>
                <w:szCs w:val="22"/>
                <w:lang w:eastAsia="hu-HU"/>
              </w:rPr>
            </w:pPr>
            <w:r w:rsidRPr="00425F98">
              <w:rPr>
                <w:rFonts w:cs="Calibri"/>
                <w:szCs w:val="22"/>
                <w:lang w:eastAsia="hu-HU"/>
              </w:rPr>
              <w:t>2015</w:t>
            </w:r>
          </w:p>
        </w:tc>
        <w:tc>
          <w:tcPr>
            <w:tcW w:w="1600" w:type="dxa"/>
            <w:tcBorders>
              <w:top w:val="nil"/>
              <w:left w:val="nil"/>
              <w:bottom w:val="single" w:sz="4" w:space="0" w:color="auto"/>
              <w:right w:val="single" w:sz="4" w:space="0" w:color="auto"/>
            </w:tcBorders>
            <w:shd w:val="clear" w:color="auto" w:fill="auto"/>
            <w:vAlign w:val="center"/>
          </w:tcPr>
          <w:p w:rsidR="00A94468" w:rsidRPr="00425F98" w:rsidRDefault="00A94468" w:rsidP="00EE4471">
            <w:pPr>
              <w:suppressAutoHyphens w:val="0"/>
              <w:jc w:val="center"/>
              <w:rPr>
                <w:rFonts w:cs="Calibri"/>
                <w:sz w:val="20"/>
                <w:szCs w:val="20"/>
                <w:lang w:eastAsia="hu-HU"/>
              </w:rPr>
            </w:pPr>
            <w:r w:rsidRPr="00425F98">
              <w:rPr>
                <w:rFonts w:cs="Calibri"/>
                <w:sz w:val="20"/>
                <w:szCs w:val="20"/>
                <w:lang w:eastAsia="hu-HU"/>
              </w:rPr>
              <w:t>4 789</w:t>
            </w:r>
          </w:p>
        </w:tc>
        <w:tc>
          <w:tcPr>
            <w:tcW w:w="1720" w:type="dxa"/>
            <w:tcBorders>
              <w:top w:val="nil"/>
              <w:left w:val="nil"/>
              <w:bottom w:val="single" w:sz="4" w:space="0" w:color="auto"/>
              <w:right w:val="single" w:sz="4" w:space="0" w:color="auto"/>
            </w:tcBorders>
            <w:shd w:val="clear" w:color="000000" w:fill="FCE4D6"/>
            <w:noWrap/>
            <w:vAlign w:val="center"/>
          </w:tcPr>
          <w:p w:rsidR="00A94468" w:rsidRPr="00425F98" w:rsidRDefault="00A94468" w:rsidP="00EE4471">
            <w:pPr>
              <w:suppressAutoHyphens w:val="0"/>
              <w:jc w:val="center"/>
              <w:rPr>
                <w:rFonts w:cs="Calibri"/>
                <w:szCs w:val="22"/>
                <w:lang w:eastAsia="hu-HU"/>
              </w:rPr>
            </w:pPr>
            <w:r w:rsidRPr="00425F98">
              <w:rPr>
                <w:rFonts w:cs="Calibri"/>
                <w:szCs w:val="22"/>
                <w:lang w:eastAsia="hu-HU"/>
              </w:rPr>
              <w:t>bázis év</w:t>
            </w:r>
          </w:p>
        </w:tc>
      </w:tr>
      <w:tr w:rsidR="00A94468" w:rsidRPr="00425F98" w:rsidTr="00EE4471">
        <w:trPr>
          <w:trHeight w:val="300"/>
        </w:trPr>
        <w:tc>
          <w:tcPr>
            <w:tcW w:w="1720" w:type="dxa"/>
            <w:tcBorders>
              <w:top w:val="nil"/>
              <w:left w:val="single" w:sz="4" w:space="0" w:color="auto"/>
              <w:bottom w:val="single" w:sz="4" w:space="0" w:color="auto"/>
              <w:right w:val="single" w:sz="4" w:space="0" w:color="auto"/>
            </w:tcBorders>
            <w:shd w:val="clear" w:color="auto" w:fill="auto"/>
            <w:vAlign w:val="center"/>
          </w:tcPr>
          <w:p w:rsidR="00A94468" w:rsidRPr="00425F98" w:rsidRDefault="00A94468" w:rsidP="00EE4471">
            <w:pPr>
              <w:suppressAutoHyphens w:val="0"/>
              <w:jc w:val="center"/>
              <w:rPr>
                <w:rFonts w:cs="Calibri"/>
                <w:szCs w:val="22"/>
                <w:lang w:eastAsia="hu-HU"/>
              </w:rPr>
            </w:pPr>
            <w:r w:rsidRPr="00425F98">
              <w:rPr>
                <w:rFonts w:cs="Calibri"/>
                <w:szCs w:val="22"/>
                <w:lang w:eastAsia="hu-HU"/>
              </w:rPr>
              <w:t>2016</w:t>
            </w:r>
          </w:p>
        </w:tc>
        <w:tc>
          <w:tcPr>
            <w:tcW w:w="1600" w:type="dxa"/>
            <w:tcBorders>
              <w:top w:val="nil"/>
              <w:left w:val="nil"/>
              <w:bottom w:val="single" w:sz="4" w:space="0" w:color="auto"/>
              <w:right w:val="single" w:sz="4" w:space="0" w:color="auto"/>
            </w:tcBorders>
            <w:shd w:val="clear" w:color="auto" w:fill="auto"/>
            <w:vAlign w:val="center"/>
          </w:tcPr>
          <w:p w:rsidR="00A94468" w:rsidRPr="00425F98" w:rsidRDefault="00A94468" w:rsidP="00EE4471">
            <w:pPr>
              <w:suppressAutoHyphens w:val="0"/>
              <w:jc w:val="center"/>
              <w:rPr>
                <w:rFonts w:cs="Calibri"/>
                <w:sz w:val="20"/>
                <w:szCs w:val="20"/>
                <w:lang w:eastAsia="hu-HU"/>
              </w:rPr>
            </w:pPr>
            <w:r w:rsidRPr="00425F98">
              <w:rPr>
                <w:rFonts w:cs="Calibri"/>
                <w:sz w:val="20"/>
                <w:szCs w:val="20"/>
                <w:lang w:eastAsia="hu-HU"/>
              </w:rPr>
              <w:t>4 748</w:t>
            </w:r>
          </w:p>
        </w:tc>
        <w:tc>
          <w:tcPr>
            <w:tcW w:w="1720" w:type="dxa"/>
            <w:tcBorders>
              <w:top w:val="nil"/>
              <w:left w:val="nil"/>
              <w:bottom w:val="single" w:sz="4" w:space="0" w:color="auto"/>
              <w:right w:val="single" w:sz="4" w:space="0" w:color="auto"/>
            </w:tcBorders>
            <w:shd w:val="clear" w:color="000000" w:fill="FCE4D6"/>
            <w:noWrap/>
            <w:vAlign w:val="center"/>
          </w:tcPr>
          <w:p w:rsidR="00A94468" w:rsidRPr="00425F98" w:rsidRDefault="00A94468" w:rsidP="00EE4471">
            <w:pPr>
              <w:suppressAutoHyphens w:val="0"/>
              <w:jc w:val="center"/>
              <w:rPr>
                <w:rFonts w:cs="Calibri"/>
                <w:szCs w:val="22"/>
                <w:lang w:eastAsia="hu-HU"/>
              </w:rPr>
            </w:pPr>
            <w:r w:rsidRPr="00425F98">
              <w:rPr>
                <w:rFonts w:cs="Calibri"/>
                <w:szCs w:val="22"/>
                <w:lang w:eastAsia="hu-HU"/>
              </w:rPr>
              <w:t>99,14%</w:t>
            </w:r>
          </w:p>
        </w:tc>
      </w:tr>
      <w:tr w:rsidR="00A94468" w:rsidRPr="00425F98" w:rsidTr="00EE4471">
        <w:trPr>
          <w:trHeight w:val="300"/>
        </w:trPr>
        <w:tc>
          <w:tcPr>
            <w:tcW w:w="1720" w:type="dxa"/>
            <w:tcBorders>
              <w:top w:val="nil"/>
              <w:left w:val="single" w:sz="4" w:space="0" w:color="auto"/>
              <w:bottom w:val="single" w:sz="4" w:space="0" w:color="auto"/>
              <w:right w:val="single" w:sz="4" w:space="0" w:color="auto"/>
            </w:tcBorders>
            <w:shd w:val="clear" w:color="auto" w:fill="auto"/>
            <w:vAlign w:val="center"/>
          </w:tcPr>
          <w:p w:rsidR="00A94468" w:rsidRPr="00425F98" w:rsidRDefault="00A94468" w:rsidP="00EE4471">
            <w:pPr>
              <w:suppressAutoHyphens w:val="0"/>
              <w:jc w:val="center"/>
              <w:rPr>
                <w:rFonts w:cs="Calibri"/>
                <w:szCs w:val="22"/>
                <w:lang w:eastAsia="hu-HU"/>
              </w:rPr>
            </w:pPr>
            <w:r w:rsidRPr="00425F98">
              <w:rPr>
                <w:rFonts w:cs="Calibri"/>
                <w:szCs w:val="22"/>
                <w:lang w:eastAsia="hu-HU"/>
              </w:rPr>
              <w:t>2017</w:t>
            </w:r>
          </w:p>
        </w:tc>
        <w:tc>
          <w:tcPr>
            <w:tcW w:w="1600" w:type="dxa"/>
            <w:tcBorders>
              <w:top w:val="nil"/>
              <w:left w:val="nil"/>
              <w:bottom w:val="single" w:sz="4" w:space="0" w:color="auto"/>
              <w:right w:val="single" w:sz="4" w:space="0" w:color="auto"/>
            </w:tcBorders>
            <w:shd w:val="clear" w:color="auto" w:fill="auto"/>
            <w:vAlign w:val="center"/>
          </w:tcPr>
          <w:p w:rsidR="00A94468" w:rsidRPr="00425F98" w:rsidRDefault="00A94468" w:rsidP="00EE4471">
            <w:pPr>
              <w:suppressAutoHyphens w:val="0"/>
              <w:jc w:val="center"/>
              <w:rPr>
                <w:rFonts w:cs="Calibri"/>
                <w:sz w:val="20"/>
                <w:szCs w:val="20"/>
                <w:lang w:eastAsia="hu-HU"/>
              </w:rPr>
            </w:pPr>
            <w:r w:rsidRPr="00425F98">
              <w:rPr>
                <w:rFonts w:cs="Calibri"/>
                <w:sz w:val="20"/>
                <w:szCs w:val="20"/>
                <w:lang w:eastAsia="hu-HU"/>
              </w:rPr>
              <w:t>4 722</w:t>
            </w:r>
          </w:p>
        </w:tc>
        <w:tc>
          <w:tcPr>
            <w:tcW w:w="1720" w:type="dxa"/>
            <w:tcBorders>
              <w:top w:val="nil"/>
              <w:left w:val="nil"/>
              <w:bottom w:val="single" w:sz="4" w:space="0" w:color="auto"/>
              <w:right w:val="single" w:sz="4" w:space="0" w:color="auto"/>
            </w:tcBorders>
            <w:shd w:val="clear" w:color="000000" w:fill="FCE4D6"/>
            <w:noWrap/>
            <w:vAlign w:val="center"/>
          </w:tcPr>
          <w:p w:rsidR="00A94468" w:rsidRPr="00425F98" w:rsidRDefault="00A94468" w:rsidP="00EE4471">
            <w:pPr>
              <w:suppressAutoHyphens w:val="0"/>
              <w:jc w:val="center"/>
              <w:rPr>
                <w:rFonts w:cs="Calibri"/>
                <w:szCs w:val="22"/>
                <w:lang w:eastAsia="hu-HU"/>
              </w:rPr>
            </w:pPr>
            <w:r w:rsidRPr="00425F98">
              <w:rPr>
                <w:rFonts w:cs="Calibri"/>
                <w:szCs w:val="22"/>
                <w:lang w:eastAsia="hu-HU"/>
              </w:rPr>
              <w:t>99,45%</w:t>
            </w:r>
          </w:p>
        </w:tc>
      </w:tr>
      <w:tr w:rsidR="00A94468" w:rsidRPr="00425F98" w:rsidTr="00EE4471">
        <w:trPr>
          <w:trHeight w:val="300"/>
        </w:trPr>
        <w:tc>
          <w:tcPr>
            <w:tcW w:w="1720" w:type="dxa"/>
            <w:tcBorders>
              <w:top w:val="nil"/>
              <w:left w:val="single" w:sz="4" w:space="0" w:color="auto"/>
              <w:bottom w:val="single" w:sz="4" w:space="0" w:color="auto"/>
              <w:right w:val="single" w:sz="4" w:space="0" w:color="auto"/>
            </w:tcBorders>
            <w:shd w:val="clear" w:color="auto" w:fill="auto"/>
            <w:vAlign w:val="center"/>
          </w:tcPr>
          <w:p w:rsidR="00A94468" w:rsidRPr="00425F98" w:rsidRDefault="00A94468" w:rsidP="00EE4471">
            <w:pPr>
              <w:suppressAutoHyphens w:val="0"/>
              <w:jc w:val="center"/>
              <w:rPr>
                <w:rFonts w:cs="Calibri"/>
                <w:szCs w:val="22"/>
                <w:lang w:eastAsia="hu-HU"/>
              </w:rPr>
            </w:pPr>
            <w:r w:rsidRPr="00425F98">
              <w:rPr>
                <w:rFonts w:cs="Calibri"/>
                <w:szCs w:val="22"/>
                <w:lang w:eastAsia="hu-HU"/>
              </w:rPr>
              <w:t>2018</w:t>
            </w:r>
          </w:p>
        </w:tc>
        <w:tc>
          <w:tcPr>
            <w:tcW w:w="1600" w:type="dxa"/>
            <w:tcBorders>
              <w:top w:val="nil"/>
              <w:left w:val="nil"/>
              <w:bottom w:val="single" w:sz="4" w:space="0" w:color="auto"/>
              <w:right w:val="single" w:sz="4" w:space="0" w:color="auto"/>
            </w:tcBorders>
            <w:shd w:val="clear" w:color="auto" w:fill="auto"/>
            <w:vAlign w:val="center"/>
          </w:tcPr>
          <w:p w:rsidR="00A94468" w:rsidRPr="00425F98" w:rsidRDefault="00A94468" w:rsidP="00EE4471">
            <w:pPr>
              <w:suppressAutoHyphens w:val="0"/>
              <w:jc w:val="center"/>
              <w:rPr>
                <w:rFonts w:cs="Calibri"/>
                <w:sz w:val="20"/>
                <w:szCs w:val="20"/>
                <w:lang w:eastAsia="hu-HU"/>
              </w:rPr>
            </w:pPr>
            <w:r w:rsidRPr="00425F98">
              <w:rPr>
                <w:rFonts w:cs="Calibri"/>
                <w:sz w:val="20"/>
                <w:szCs w:val="20"/>
                <w:lang w:eastAsia="hu-HU"/>
              </w:rPr>
              <w:t>4 652</w:t>
            </w:r>
          </w:p>
        </w:tc>
        <w:tc>
          <w:tcPr>
            <w:tcW w:w="1720" w:type="dxa"/>
            <w:tcBorders>
              <w:top w:val="nil"/>
              <w:left w:val="nil"/>
              <w:bottom w:val="single" w:sz="4" w:space="0" w:color="auto"/>
              <w:right w:val="single" w:sz="4" w:space="0" w:color="auto"/>
            </w:tcBorders>
            <w:shd w:val="clear" w:color="000000" w:fill="FCE4D6"/>
            <w:noWrap/>
            <w:vAlign w:val="center"/>
          </w:tcPr>
          <w:p w:rsidR="00A94468" w:rsidRPr="00425F98" w:rsidRDefault="00A94468" w:rsidP="00EE4471">
            <w:pPr>
              <w:suppressAutoHyphens w:val="0"/>
              <w:jc w:val="center"/>
              <w:rPr>
                <w:rFonts w:cs="Calibri"/>
                <w:szCs w:val="22"/>
                <w:lang w:eastAsia="hu-HU"/>
              </w:rPr>
            </w:pPr>
            <w:r w:rsidRPr="00425F98">
              <w:rPr>
                <w:rFonts w:cs="Calibri"/>
                <w:szCs w:val="22"/>
                <w:lang w:eastAsia="hu-HU"/>
              </w:rPr>
              <w:t>98,52%</w:t>
            </w:r>
          </w:p>
        </w:tc>
      </w:tr>
      <w:tr w:rsidR="00A94468" w:rsidRPr="00425F98" w:rsidTr="00EE4471">
        <w:trPr>
          <w:trHeight w:val="300"/>
        </w:trPr>
        <w:tc>
          <w:tcPr>
            <w:tcW w:w="1720" w:type="dxa"/>
            <w:tcBorders>
              <w:top w:val="nil"/>
              <w:left w:val="single" w:sz="4" w:space="0" w:color="auto"/>
              <w:bottom w:val="single" w:sz="4" w:space="0" w:color="auto"/>
              <w:right w:val="single" w:sz="4" w:space="0" w:color="auto"/>
            </w:tcBorders>
            <w:shd w:val="clear" w:color="auto" w:fill="auto"/>
            <w:vAlign w:val="center"/>
          </w:tcPr>
          <w:p w:rsidR="00A94468" w:rsidRPr="00425F98" w:rsidRDefault="00A94468" w:rsidP="00EE4471">
            <w:pPr>
              <w:suppressAutoHyphens w:val="0"/>
              <w:jc w:val="center"/>
              <w:rPr>
                <w:rFonts w:cs="Calibri"/>
                <w:szCs w:val="22"/>
                <w:lang w:eastAsia="hu-HU"/>
              </w:rPr>
            </w:pPr>
            <w:r w:rsidRPr="00425F98">
              <w:rPr>
                <w:rFonts w:cs="Calibri"/>
                <w:szCs w:val="22"/>
                <w:lang w:eastAsia="hu-HU"/>
              </w:rPr>
              <w:t>2019</w:t>
            </w:r>
          </w:p>
        </w:tc>
        <w:tc>
          <w:tcPr>
            <w:tcW w:w="1600" w:type="dxa"/>
            <w:tcBorders>
              <w:top w:val="nil"/>
              <w:left w:val="nil"/>
              <w:bottom w:val="single" w:sz="4" w:space="0" w:color="auto"/>
              <w:right w:val="single" w:sz="4" w:space="0" w:color="auto"/>
            </w:tcBorders>
            <w:shd w:val="clear" w:color="auto" w:fill="auto"/>
            <w:vAlign w:val="center"/>
          </w:tcPr>
          <w:p w:rsidR="00A94468" w:rsidRPr="00425F98" w:rsidRDefault="00A94468" w:rsidP="00EE4471">
            <w:pPr>
              <w:suppressAutoHyphens w:val="0"/>
              <w:jc w:val="center"/>
              <w:rPr>
                <w:rFonts w:cs="Calibri"/>
                <w:sz w:val="20"/>
                <w:szCs w:val="20"/>
                <w:lang w:eastAsia="hu-HU"/>
              </w:rPr>
            </w:pPr>
            <w:r w:rsidRPr="00425F98">
              <w:rPr>
                <w:rFonts w:cs="Calibri"/>
                <w:sz w:val="20"/>
                <w:szCs w:val="20"/>
                <w:lang w:eastAsia="hu-HU"/>
              </w:rPr>
              <w:t>4 582</w:t>
            </w:r>
          </w:p>
        </w:tc>
        <w:tc>
          <w:tcPr>
            <w:tcW w:w="1720" w:type="dxa"/>
            <w:tcBorders>
              <w:top w:val="nil"/>
              <w:left w:val="nil"/>
              <w:bottom w:val="single" w:sz="4" w:space="0" w:color="auto"/>
              <w:right w:val="single" w:sz="4" w:space="0" w:color="auto"/>
            </w:tcBorders>
            <w:shd w:val="clear" w:color="000000" w:fill="FCE4D6"/>
            <w:noWrap/>
            <w:vAlign w:val="center"/>
          </w:tcPr>
          <w:p w:rsidR="00A94468" w:rsidRPr="00425F98" w:rsidRDefault="00A94468" w:rsidP="00EE4471">
            <w:pPr>
              <w:suppressAutoHyphens w:val="0"/>
              <w:jc w:val="center"/>
              <w:rPr>
                <w:rFonts w:cs="Calibri"/>
                <w:szCs w:val="22"/>
                <w:lang w:eastAsia="hu-HU"/>
              </w:rPr>
            </w:pPr>
            <w:r w:rsidRPr="00425F98">
              <w:rPr>
                <w:rFonts w:cs="Calibri"/>
                <w:szCs w:val="22"/>
                <w:lang w:eastAsia="hu-HU"/>
              </w:rPr>
              <w:t>98,50%</w:t>
            </w:r>
          </w:p>
        </w:tc>
      </w:tr>
      <w:tr w:rsidR="00A94468" w:rsidRPr="00425F98" w:rsidTr="00EE4471">
        <w:trPr>
          <w:trHeight w:val="300"/>
        </w:trPr>
        <w:tc>
          <w:tcPr>
            <w:tcW w:w="1720" w:type="dxa"/>
            <w:tcBorders>
              <w:top w:val="nil"/>
              <w:left w:val="single" w:sz="4" w:space="0" w:color="auto"/>
              <w:bottom w:val="single" w:sz="4" w:space="0" w:color="auto"/>
              <w:right w:val="single" w:sz="4" w:space="0" w:color="auto"/>
            </w:tcBorders>
            <w:shd w:val="clear" w:color="auto" w:fill="auto"/>
            <w:vAlign w:val="center"/>
          </w:tcPr>
          <w:p w:rsidR="00A94468" w:rsidRPr="00425F98" w:rsidRDefault="00A94468" w:rsidP="00EE4471">
            <w:pPr>
              <w:suppressAutoHyphens w:val="0"/>
              <w:jc w:val="center"/>
              <w:rPr>
                <w:rFonts w:cs="Calibri"/>
                <w:szCs w:val="22"/>
                <w:lang w:eastAsia="hu-HU"/>
              </w:rPr>
            </w:pPr>
            <w:r w:rsidRPr="00425F98">
              <w:rPr>
                <w:rFonts w:cs="Calibri"/>
                <w:szCs w:val="22"/>
                <w:lang w:eastAsia="hu-HU"/>
              </w:rPr>
              <w:t>2020</w:t>
            </w:r>
          </w:p>
        </w:tc>
        <w:tc>
          <w:tcPr>
            <w:tcW w:w="1600" w:type="dxa"/>
            <w:tcBorders>
              <w:top w:val="nil"/>
              <w:left w:val="nil"/>
              <w:bottom w:val="single" w:sz="4" w:space="0" w:color="auto"/>
              <w:right w:val="single" w:sz="4" w:space="0" w:color="auto"/>
            </w:tcBorders>
            <w:shd w:val="clear" w:color="auto" w:fill="auto"/>
            <w:vAlign w:val="center"/>
          </w:tcPr>
          <w:p w:rsidR="00A94468" w:rsidRPr="00425F98" w:rsidRDefault="00A94468" w:rsidP="00EE4471">
            <w:pPr>
              <w:suppressAutoHyphens w:val="0"/>
              <w:jc w:val="center"/>
              <w:rPr>
                <w:rFonts w:cs="Calibri"/>
                <w:sz w:val="20"/>
                <w:szCs w:val="20"/>
                <w:lang w:eastAsia="hu-HU"/>
              </w:rPr>
            </w:pPr>
            <w:r w:rsidRPr="00425F98">
              <w:rPr>
                <w:rFonts w:cs="Calibri"/>
                <w:sz w:val="20"/>
                <w:szCs w:val="20"/>
                <w:lang w:eastAsia="hu-HU"/>
              </w:rPr>
              <w:t>n.a.</w:t>
            </w:r>
          </w:p>
        </w:tc>
        <w:tc>
          <w:tcPr>
            <w:tcW w:w="1720" w:type="dxa"/>
            <w:tcBorders>
              <w:top w:val="nil"/>
              <w:left w:val="nil"/>
              <w:bottom w:val="single" w:sz="4" w:space="0" w:color="auto"/>
              <w:right w:val="single" w:sz="4" w:space="0" w:color="auto"/>
            </w:tcBorders>
            <w:shd w:val="clear" w:color="000000" w:fill="FCE4D6"/>
            <w:noWrap/>
            <w:vAlign w:val="center"/>
          </w:tcPr>
          <w:p w:rsidR="00A94468" w:rsidRPr="00425F98" w:rsidRDefault="00A94468" w:rsidP="00EE4471">
            <w:pPr>
              <w:suppressAutoHyphens w:val="0"/>
              <w:jc w:val="center"/>
              <w:rPr>
                <w:rFonts w:cs="Calibri"/>
                <w:szCs w:val="22"/>
                <w:lang w:eastAsia="hu-HU"/>
              </w:rPr>
            </w:pPr>
            <w:r w:rsidRPr="00425F98">
              <w:rPr>
                <w:rFonts w:cs="Calibri"/>
                <w:szCs w:val="22"/>
                <w:lang w:eastAsia="hu-HU"/>
              </w:rPr>
              <w:t>-</w:t>
            </w:r>
          </w:p>
        </w:tc>
      </w:tr>
    </w:tbl>
    <w:p w:rsidR="00A94468" w:rsidRDefault="00A94468" w:rsidP="00A94468">
      <w:pPr>
        <w:pStyle w:val="Tblacm"/>
        <w:jc w:val="left"/>
        <w:rPr>
          <w:rFonts w:ascii="Times New Roman" w:hAnsi="Times New Roman"/>
          <w:sz w:val="24"/>
          <w:szCs w:val="24"/>
          <w:shd w:val="clear" w:color="auto" w:fill="00FF00"/>
        </w:rPr>
      </w:pPr>
    </w:p>
    <w:p w:rsidR="00A94468" w:rsidRDefault="00A94468" w:rsidP="00A94468">
      <w:pPr>
        <w:pStyle w:val="Tblacm"/>
        <w:keepNext w:val="0"/>
        <w:rPr>
          <w:rFonts w:ascii="Times New Roman" w:hAnsi="Times New Roman"/>
          <w:sz w:val="24"/>
        </w:rPr>
      </w:pPr>
      <w:r>
        <w:rPr>
          <w:rFonts w:ascii="Times New Roman" w:hAnsi="Times New Roman"/>
          <w:sz w:val="24"/>
        </w:rPr>
        <w:t>Forrás: TeIR, KSH-TSTAR</w:t>
      </w:r>
    </w:p>
    <w:p w:rsidR="00A94468" w:rsidRDefault="00A94468" w:rsidP="00A94468">
      <w:pPr>
        <w:pStyle w:val="Tblacm"/>
        <w:jc w:val="left"/>
        <w:rPr>
          <w:rFonts w:ascii="Times New Roman" w:hAnsi="Times New Roman"/>
          <w:sz w:val="24"/>
          <w:szCs w:val="24"/>
          <w:shd w:val="clear" w:color="auto" w:fill="00FF00"/>
        </w:rPr>
      </w:pPr>
      <w:r w:rsidRPr="003B56EA">
        <w:rPr>
          <w:noProof/>
          <w:lang w:eastAsia="hu-HU"/>
        </w:rPr>
        <w:lastRenderedPageBreak/>
        <w:drawing>
          <wp:inline distT="0" distB="0" distL="0" distR="0" wp14:anchorId="1DBE9118" wp14:editId="32D113B8">
            <wp:extent cx="3590925" cy="2771775"/>
            <wp:effectExtent l="0" t="0" r="0" b="0"/>
            <wp:docPr id="6" name="Diagram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94468" w:rsidRDefault="00A94468" w:rsidP="00A94468">
      <w:pPr>
        <w:pStyle w:val="Tblacm"/>
        <w:jc w:val="left"/>
        <w:rPr>
          <w:rFonts w:ascii="Times New Roman" w:hAnsi="Times New Roman"/>
          <w:sz w:val="24"/>
          <w:szCs w:val="24"/>
          <w:shd w:val="clear" w:color="auto" w:fill="00FF00"/>
        </w:rPr>
      </w:pPr>
    </w:p>
    <w:p w:rsidR="00A94468" w:rsidRDefault="00A94468" w:rsidP="00A94468">
      <w:pPr>
        <w:pStyle w:val="Tblacm"/>
        <w:keepNext w:val="0"/>
        <w:rPr>
          <w:rFonts w:ascii="Times New Roman" w:hAnsi="Times New Roman"/>
          <w:sz w:val="24"/>
        </w:rPr>
      </w:pPr>
      <w:r>
        <w:rPr>
          <w:rFonts w:ascii="Times New Roman" w:hAnsi="Times New Roman"/>
          <w:sz w:val="24"/>
        </w:rPr>
        <w:t>A táblázatból az olvasható ki, hogy a 2015-ös évhez képest az elmúlt öt évben sajnos csökkent a település lakosságszáma. Szerencsére ez a csökkenés csak kismértékű, ellenben az elmúlt évtizedekben tapasztalt nagyobb mértékű népességfogyással. Az utóbbi években a gyermekvállalási kedv megnövekedett, ezért az emelkedő születésszám valamennyire kompenzálni tudja a még mindig magas elhalálozási adatokat. Ha a születésszámok nem emelkedtek volna meg a korábbi évtizedben mért adatokhoz képest is kismértékben, de kimutathatóan, akkor a település népességfogyása még ennél is sokkal szembetűnőbb lenne.</w:t>
      </w:r>
    </w:p>
    <w:p w:rsidR="00A94468" w:rsidRDefault="00A94468" w:rsidP="00A94468">
      <w:pPr>
        <w:pStyle w:val="Tblacm"/>
        <w:jc w:val="left"/>
        <w:rPr>
          <w:rFonts w:ascii="Times New Roman" w:hAnsi="Times New Roman"/>
          <w:sz w:val="24"/>
          <w:szCs w:val="24"/>
          <w:shd w:val="clear" w:color="auto" w:fill="00FF00"/>
        </w:rPr>
      </w:pPr>
    </w:p>
    <w:p w:rsidR="00A94468" w:rsidRPr="00363517" w:rsidRDefault="00A94468" w:rsidP="00A94468">
      <w:pPr>
        <w:pStyle w:val="Tblacm"/>
        <w:jc w:val="left"/>
        <w:rPr>
          <w:rFonts w:ascii="Times New Roman" w:hAnsi="Times New Roman"/>
          <w:sz w:val="24"/>
          <w:szCs w:val="24"/>
          <w:shd w:val="clear" w:color="auto" w:fill="00FF00"/>
        </w:rPr>
      </w:pPr>
      <w:r w:rsidRPr="00363517">
        <w:rPr>
          <w:rFonts w:ascii="Times New Roman" w:hAnsi="Times New Roman"/>
          <w:sz w:val="24"/>
          <w:szCs w:val="24"/>
          <w:shd w:val="clear" w:color="auto" w:fill="00FF00"/>
        </w:rPr>
        <w:t xml:space="preserve">2. számú táblázat - Állandó népesség </w:t>
      </w:r>
      <w:r>
        <w:rPr>
          <w:rFonts w:ascii="Times New Roman" w:hAnsi="Times New Roman"/>
          <w:sz w:val="24"/>
          <w:szCs w:val="24"/>
          <w:shd w:val="clear" w:color="auto" w:fill="00FF00"/>
        </w:rPr>
        <w:t>összetétele nemek és korcsoportok szerint (2018)</w:t>
      </w:r>
    </w:p>
    <w:p w:rsidR="00A94468" w:rsidRDefault="00A94468" w:rsidP="00A94468">
      <w:pPr>
        <w:pStyle w:val="Tblacm"/>
        <w:keepNext w:val="0"/>
        <w:rPr>
          <w:rFonts w:ascii="Times New Roman" w:hAnsi="Times New Roman"/>
          <w:sz w:val="24"/>
        </w:rPr>
      </w:pPr>
    </w:p>
    <w:tbl>
      <w:tblPr>
        <w:tblW w:w="9634" w:type="dxa"/>
        <w:tblInd w:w="75" w:type="dxa"/>
        <w:tblCellMar>
          <w:left w:w="70" w:type="dxa"/>
          <w:right w:w="70" w:type="dxa"/>
        </w:tblCellMar>
        <w:tblLook w:val="04A0" w:firstRow="1" w:lastRow="0" w:firstColumn="1" w:lastColumn="0" w:noHBand="0" w:noVBand="1"/>
      </w:tblPr>
      <w:tblGrid>
        <w:gridCol w:w="4300"/>
        <w:gridCol w:w="990"/>
        <w:gridCol w:w="718"/>
        <w:gridCol w:w="1075"/>
        <w:gridCol w:w="1417"/>
        <w:gridCol w:w="1134"/>
      </w:tblGrid>
      <w:tr w:rsidR="00A94468" w:rsidRPr="00A67507" w:rsidTr="00EE4471">
        <w:trPr>
          <w:trHeight w:val="1635"/>
        </w:trPr>
        <w:tc>
          <w:tcPr>
            <w:tcW w:w="4300" w:type="dxa"/>
            <w:vMerge w:val="restart"/>
            <w:tcBorders>
              <w:top w:val="single" w:sz="4" w:space="0" w:color="auto"/>
              <w:left w:val="single" w:sz="4" w:space="0" w:color="auto"/>
              <w:bottom w:val="single" w:sz="4" w:space="0" w:color="000000"/>
              <w:right w:val="single" w:sz="4" w:space="0" w:color="auto"/>
            </w:tcBorders>
            <w:shd w:val="clear" w:color="000000" w:fill="E2EFDA"/>
            <w:noWrap/>
            <w:vAlign w:val="center"/>
          </w:tcPr>
          <w:p w:rsidR="00A94468" w:rsidRPr="00A67507" w:rsidRDefault="00A94468" w:rsidP="00EE4471">
            <w:pPr>
              <w:suppressAutoHyphens w:val="0"/>
              <w:jc w:val="center"/>
              <w:rPr>
                <w:rFonts w:cs="Calibri"/>
                <w:b/>
                <w:bCs/>
                <w:szCs w:val="22"/>
                <w:lang w:eastAsia="hu-HU"/>
              </w:rPr>
            </w:pPr>
            <w:r w:rsidRPr="00A67507">
              <w:rPr>
                <w:rFonts w:cs="Calibri"/>
                <w:b/>
                <w:bCs/>
                <w:szCs w:val="22"/>
                <w:lang w:eastAsia="hu-HU"/>
              </w:rPr>
              <w:t xml:space="preserve">Korcsoport </w:t>
            </w:r>
          </w:p>
        </w:tc>
        <w:tc>
          <w:tcPr>
            <w:tcW w:w="2783" w:type="dxa"/>
            <w:gridSpan w:val="3"/>
            <w:tcBorders>
              <w:top w:val="single" w:sz="4" w:space="0" w:color="auto"/>
              <w:left w:val="nil"/>
              <w:bottom w:val="single" w:sz="4" w:space="0" w:color="auto"/>
              <w:right w:val="single" w:sz="4" w:space="0" w:color="000000"/>
            </w:tcBorders>
            <w:shd w:val="clear" w:color="000000" w:fill="E2EFDA"/>
            <w:noWrap/>
            <w:vAlign w:val="center"/>
          </w:tcPr>
          <w:p w:rsidR="00A94468" w:rsidRPr="00A67507" w:rsidRDefault="00A94468" w:rsidP="00EE4471">
            <w:pPr>
              <w:suppressAutoHyphens w:val="0"/>
              <w:jc w:val="center"/>
              <w:rPr>
                <w:rFonts w:cs="Calibri"/>
                <w:b/>
                <w:bCs/>
                <w:szCs w:val="22"/>
                <w:lang w:eastAsia="hu-HU"/>
              </w:rPr>
            </w:pPr>
            <w:r w:rsidRPr="00A67507">
              <w:rPr>
                <w:rFonts w:cs="Calibri"/>
                <w:b/>
                <w:bCs/>
                <w:szCs w:val="22"/>
                <w:lang w:eastAsia="hu-HU"/>
              </w:rPr>
              <w:t>Fő</w:t>
            </w:r>
          </w:p>
        </w:tc>
        <w:tc>
          <w:tcPr>
            <w:tcW w:w="2551" w:type="dxa"/>
            <w:gridSpan w:val="2"/>
            <w:tcBorders>
              <w:top w:val="single" w:sz="4" w:space="0" w:color="auto"/>
              <w:left w:val="nil"/>
              <w:bottom w:val="single" w:sz="4" w:space="0" w:color="auto"/>
              <w:right w:val="single" w:sz="4" w:space="0" w:color="000000"/>
            </w:tcBorders>
            <w:shd w:val="clear" w:color="000000" w:fill="E2EFDA"/>
            <w:vAlign w:val="center"/>
          </w:tcPr>
          <w:p w:rsidR="00A94468" w:rsidRPr="00A67507" w:rsidRDefault="00A94468" w:rsidP="00EE4471">
            <w:pPr>
              <w:suppressAutoHyphens w:val="0"/>
              <w:jc w:val="center"/>
              <w:rPr>
                <w:rFonts w:cs="Calibri"/>
                <w:b/>
                <w:bCs/>
                <w:szCs w:val="22"/>
                <w:lang w:eastAsia="hu-HU"/>
              </w:rPr>
            </w:pPr>
            <w:r w:rsidRPr="00A67507">
              <w:rPr>
                <w:rFonts w:cs="Calibri"/>
                <w:b/>
                <w:bCs/>
                <w:szCs w:val="22"/>
                <w:lang w:eastAsia="hu-HU"/>
              </w:rPr>
              <w:t>Az állandó népességből a megfelelő korcsoportú nők és férfiak aránya (%)</w:t>
            </w:r>
          </w:p>
        </w:tc>
      </w:tr>
      <w:tr w:rsidR="00A94468" w:rsidRPr="00A67507" w:rsidTr="00EE4471">
        <w:trPr>
          <w:trHeight w:val="600"/>
        </w:trPr>
        <w:tc>
          <w:tcPr>
            <w:tcW w:w="4300" w:type="dxa"/>
            <w:vMerge/>
            <w:tcBorders>
              <w:top w:val="single" w:sz="4" w:space="0" w:color="auto"/>
              <w:left w:val="single" w:sz="4" w:space="0" w:color="auto"/>
              <w:bottom w:val="single" w:sz="4" w:space="0" w:color="000000"/>
              <w:right w:val="single" w:sz="4" w:space="0" w:color="auto"/>
            </w:tcBorders>
            <w:vAlign w:val="center"/>
          </w:tcPr>
          <w:p w:rsidR="00A94468" w:rsidRPr="00A67507" w:rsidRDefault="00A94468" w:rsidP="00EE4471">
            <w:pPr>
              <w:suppressAutoHyphens w:val="0"/>
              <w:jc w:val="left"/>
              <w:rPr>
                <w:rFonts w:cs="Calibri"/>
                <w:b/>
                <w:bCs/>
                <w:szCs w:val="22"/>
                <w:lang w:eastAsia="hu-HU"/>
              </w:rPr>
            </w:pPr>
          </w:p>
        </w:tc>
        <w:tc>
          <w:tcPr>
            <w:tcW w:w="990" w:type="dxa"/>
            <w:tcBorders>
              <w:top w:val="nil"/>
              <w:left w:val="nil"/>
              <w:bottom w:val="single" w:sz="4" w:space="0" w:color="auto"/>
              <w:right w:val="single" w:sz="4" w:space="0" w:color="auto"/>
            </w:tcBorders>
            <w:shd w:val="clear" w:color="000000" w:fill="E2EFDA"/>
            <w:noWrap/>
            <w:vAlign w:val="center"/>
          </w:tcPr>
          <w:p w:rsidR="00A94468" w:rsidRPr="00A67507" w:rsidRDefault="00A94468" w:rsidP="00EE4471">
            <w:pPr>
              <w:suppressAutoHyphens w:val="0"/>
              <w:jc w:val="center"/>
              <w:rPr>
                <w:rFonts w:cs="Calibri"/>
                <w:b/>
                <w:bCs/>
                <w:szCs w:val="22"/>
                <w:lang w:eastAsia="hu-HU"/>
              </w:rPr>
            </w:pPr>
            <w:r w:rsidRPr="00A67507">
              <w:rPr>
                <w:rFonts w:cs="Calibri"/>
                <w:b/>
                <w:bCs/>
                <w:szCs w:val="22"/>
                <w:lang w:eastAsia="hu-HU"/>
              </w:rPr>
              <w:t>Férfiak</w:t>
            </w:r>
          </w:p>
        </w:tc>
        <w:tc>
          <w:tcPr>
            <w:tcW w:w="718" w:type="dxa"/>
            <w:tcBorders>
              <w:top w:val="nil"/>
              <w:left w:val="nil"/>
              <w:bottom w:val="single" w:sz="4" w:space="0" w:color="auto"/>
              <w:right w:val="single" w:sz="4" w:space="0" w:color="auto"/>
            </w:tcBorders>
            <w:shd w:val="clear" w:color="000000" w:fill="E2EFDA"/>
            <w:noWrap/>
            <w:vAlign w:val="center"/>
          </w:tcPr>
          <w:p w:rsidR="00A94468" w:rsidRPr="00A67507" w:rsidRDefault="00A94468" w:rsidP="00EE4471">
            <w:pPr>
              <w:suppressAutoHyphens w:val="0"/>
              <w:jc w:val="center"/>
              <w:rPr>
                <w:rFonts w:cs="Calibri"/>
                <w:b/>
                <w:bCs/>
                <w:szCs w:val="22"/>
                <w:lang w:eastAsia="hu-HU"/>
              </w:rPr>
            </w:pPr>
            <w:r w:rsidRPr="00A67507">
              <w:rPr>
                <w:rFonts w:cs="Calibri"/>
                <w:b/>
                <w:bCs/>
                <w:szCs w:val="22"/>
                <w:lang w:eastAsia="hu-HU"/>
              </w:rPr>
              <w:t>Nők</w:t>
            </w:r>
          </w:p>
        </w:tc>
        <w:tc>
          <w:tcPr>
            <w:tcW w:w="1075" w:type="dxa"/>
            <w:tcBorders>
              <w:top w:val="nil"/>
              <w:left w:val="nil"/>
              <w:bottom w:val="single" w:sz="4" w:space="0" w:color="auto"/>
              <w:right w:val="single" w:sz="4" w:space="0" w:color="auto"/>
            </w:tcBorders>
            <w:shd w:val="clear" w:color="000000" w:fill="E2EFDA"/>
            <w:vAlign w:val="center"/>
          </w:tcPr>
          <w:p w:rsidR="00A94468" w:rsidRPr="00A67507" w:rsidRDefault="00A94468" w:rsidP="00EE4471">
            <w:pPr>
              <w:suppressAutoHyphens w:val="0"/>
              <w:jc w:val="center"/>
              <w:rPr>
                <w:rFonts w:cs="Calibri"/>
                <w:b/>
                <w:bCs/>
                <w:szCs w:val="22"/>
                <w:lang w:eastAsia="hu-HU"/>
              </w:rPr>
            </w:pPr>
            <w:r w:rsidRPr="00A67507">
              <w:rPr>
                <w:rFonts w:cs="Calibri"/>
                <w:b/>
                <w:bCs/>
                <w:szCs w:val="22"/>
                <w:lang w:eastAsia="hu-HU"/>
              </w:rPr>
              <w:t>Összesen</w:t>
            </w:r>
            <w:r w:rsidRPr="00A67507">
              <w:rPr>
                <w:rFonts w:cs="Calibri"/>
                <w:b/>
                <w:bCs/>
                <w:szCs w:val="22"/>
                <w:lang w:eastAsia="hu-HU"/>
              </w:rPr>
              <w:br/>
            </w:r>
            <w:r w:rsidRPr="00A67507">
              <w:rPr>
                <w:rFonts w:cs="Calibri"/>
                <w:szCs w:val="22"/>
                <w:lang w:eastAsia="hu-HU"/>
              </w:rPr>
              <w:t>(TS 003)</w:t>
            </w:r>
          </w:p>
        </w:tc>
        <w:tc>
          <w:tcPr>
            <w:tcW w:w="1417" w:type="dxa"/>
            <w:tcBorders>
              <w:top w:val="nil"/>
              <w:left w:val="nil"/>
              <w:bottom w:val="single" w:sz="4" w:space="0" w:color="auto"/>
              <w:right w:val="single" w:sz="4" w:space="0" w:color="auto"/>
            </w:tcBorders>
            <w:shd w:val="clear" w:color="000000" w:fill="E2EFDA"/>
            <w:vAlign w:val="center"/>
          </w:tcPr>
          <w:p w:rsidR="00A94468" w:rsidRPr="00A67507" w:rsidRDefault="00A94468" w:rsidP="00EE4471">
            <w:pPr>
              <w:suppressAutoHyphens w:val="0"/>
              <w:jc w:val="center"/>
              <w:rPr>
                <w:rFonts w:cs="Calibri"/>
                <w:b/>
                <w:bCs/>
                <w:szCs w:val="22"/>
                <w:lang w:eastAsia="hu-HU"/>
              </w:rPr>
            </w:pPr>
            <w:r w:rsidRPr="00A67507">
              <w:rPr>
                <w:rFonts w:cs="Calibri"/>
                <w:b/>
                <w:bCs/>
                <w:szCs w:val="22"/>
                <w:lang w:eastAsia="hu-HU"/>
              </w:rPr>
              <w:t>Férfiak</w:t>
            </w:r>
            <w:r w:rsidRPr="00A67507">
              <w:rPr>
                <w:rFonts w:cs="Calibri"/>
                <w:b/>
                <w:bCs/>
                <w:szCs w:val="22"/>
                <w:lang w:eastAsia="hu-HU"/>
              </w:rPr>
              <w:br/>
            </w:r>
            <w:r w:rsidRPr="00A67507">
              <w:rPr>
                <w:rFonts w:cs="Calibri"/>
                <w:szCs w:val="22"/>
                <w:lang w:eastAsia="hu-HU"/>
              </w:rPr>
              <w:t>(TS 005)</w:t>
            </w:r>
          </w:p>
        </w:tc>
        <w:tc>
          <w:tcPr>
            <w:tcW w:w="1134" w:type="dxa"/>
            <w:tcBorders>
              <w:top w:val="nil"/>
              <w:left w:val="nil"/>
              <w:bottom w:val="single" w:sz="4" w:space="0" w:color="auto"/>
              <w:right w:val="single" w:sz="4" w:space="0" w:color="auto"/>
            </w:tcBorders>
            <w:shd w:val="clear" w:color="000000" w:fill="E2EFDA"/>
            <w:vAlign w:val="center"/>
          </w:tcPr>
          <w:p w:rsidR="00A94468" w:rsidRPr="00A67507" w:rsidRDefault="00A94468" w:rsidP="00EE4471">
            <w:pPr>
              <w:suppressAutoHyphens w:val="0"/>
              <w:jc w:val="center"/>
              <w:rPr>
                <w:rFonts w:cs="Calibri"/>
                <w:b/>
                <w:bCs/>
                <w:szCs w:val="22"/>
                <w:lang w:eastAsia="hu-HU"/>
              </w:rPr>
            </w:pPr>
            <w:r w:rsidRPr="00A67507">
              <w:rPr>
                <w:rFonts w:cs="Calibri"/>
                <w:b/>
                <w:bCs/>
                <w:szCs w:val="22"/>
                <w:lang w:eastAsia="hu-HU"/>
              </w:rPr>
              <w:t>Nők</w:t>
            </w:r>
            <w:r w:rsidRPr="00A67507">
              <w:rPr>
                <w:rFonts w:cs="Calibri"/>
                <w:b/>
                <w:bCs/>
                <w:szCs w:val="22"/>
                <w:lang w:eastAsia="hu-HU"/>
              </w:rPr>
              <w:br/>
            </w:r>
            <w:r w:rsidRPr="00A67507">
              <w:rPr>
                <w:rFonts w:cs="Calibri"/>
                <w:szCs w:val="22"/>
                <w:lang w:eastAsia="hu-HU"/>
              </w:rPr>
              <w:t>(TS 007)</w:t>
            </w:r>
          </w:p>
        </w:tc>
      </w:tr>
      <w:tr w:rsidR="00A94468" w:rsidRPr="00A67507" w:rsidTr="00EE4471">
        <w:trPr>
          <w:trHeight w:val="600"/>
        </w:trPr>
        <w:tc>
          <w:tcPr>
            <w:tcW w:w="430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b/>
                <w:bCs/>
                <w:szCs w:val="22"/>
                <w:lang w:eastAsia="hu-HU"/>
              </w:rPr>
              <w:t xml:space="preserve">Állandó népesség száma </w:t>
            </w:r>
            <w:r w:rsidRPr="00A67507">
              <w:rPr>
                <w:rFonts w:cs="Calibri"/>
                <w:szCs w:val="22"/>
                <w:lang w:eastAsia="hu-HU"/>
              </w:rPr>
              <w:t>(férfiak TS 004, nők TS 006)</w:t>
            </w:r>
          </w:p>
        </w:tc>
        <w:tc>
          <w:tcPr>
            <w:tcW w:w="990" w:type="dxa"/>
            <w:tcBorders>
              <w:top w:val="nil"/>
              <w:left w:val="nil"/>
              <w:bottom w:val="single" w:sz="4" w:space="0" w:color="auto"/>
              <w:right w:val="single" w:sz="4" w:space="0" w:color="auto"/>
            </w:tcBorders>
            <w:shd w:val="clear" w:color="auto" w:fill="auto"/>
            <w:noWrap/>
            <w:vAlign w:val="center"/>
          </w:tcPr>
          <w:p w:rsidR="00A94468" w:rsidRPr="00A67507" w:rsidRDefault="00A94468" w:rsidP="00EE4471">
            <w:pPr>
              <w:suppressAutoHyphens w:val="0"/>
              <w:jc w:val="center"/>
              <w:rPr>
                <w:rFonts w:cs="Calibri"/>
                <w:color w:val="000000"/>
                <w:szCs w:val="22"/>
                <w:lang w:eastAsia="hu-HU"/>
              </w:rPr>
            </w:pPr>
            <w:r w:rsidRPr="00A67507">
              <w:rPr>
                <w:rFonts w:cs="Calibri"/>
                <w:color w:val="000000"/>
                <w:szCs w:val="22"/>
                <w:lang w:eastAsia="hu-HU"/>
              </w:rPr>
              <w:t>2360</w:t>
            </w:r>
          </w:p>
        </w:tc>
        <w:tc>
          <w:tcPr>
            <w:tcW w:w="718" w:type="dxa"/>
            <w:tcBorders>
              <w:top w:val="nil"/>
              <w:left w:val="nil"/>
              <w:bottom w:val="single" w:sz="4" w:space="0" w:color="auto"/>
              <w:right w:val="single" w:sz="4" w:space="0" w:color="auto"/>
            </w:tcBorders>
            <w:shd w:val="clear" w:color="auto" w:fill="auto"/>
            <w:noWrap/>
            <w:vAlign w:val="center"/>
          </w:tcPr>
          <w:p w:rsidR="00A94468" w:rsidRPr="00A67507" w:rsidRDefault="00A94468" w:rsidP="00EE4471">
            <w:pPr>
              <w:suppressAutoHyphens w:val="0"/>
              <w:jc w:val="center"/>
              <w:rPr>
                <w:rFonts w:cs="Calibri"/>
                <w:color w:val="000000"/>
                <w:szCs w:val="22"/>
                <w:lang w:eastAsia="hu-HU"/>
              </w:rPr>
            </w:pPr>
            <w:r w:rsidRPr="00A67507">
              <w:rPr>
                <w:rFonts w:cs="Calibri"/>
                <w:color w:val="000000"/>
                <w:szCs w:val="22"/>
                <w:lang w:eastAsia="hu-HU"/>
              </w:rPr>
              <w:t>2546</w:t>
            </w:r>
          </w:p>
        </w:tc>
        <w:tc>
          <w:tcPr>
            <w:tcW w:w="1075"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4906</w:t>
            </w:r>
          </w:p>
        </w:tc>
        <w:tc>
          <w:tcPr>
            <w:tcW w:w="1417"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48,10%</w:t>
            </w:r>
          </w:p>
        </w:tc>
        <w:tc>
          <w:tcPr>
            <w:tcW w:w="1134"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51,90%</w:t>
            </w:r>
          </w:p>
        </w:tc>
      </w:tr>
      <w:tr w:rsidR="00A94468" w:rsidRPr="00A67507" w:rsidTr="00EE4471">
        <w:trPr>
          <w:trHeight w:val="600"/>
        </w:trPr>
        <w:tc>
          <w:tcPr>
            <w:tcW w:w="430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b/>
                <w:bCs/>
                <w:szCs w:val="22"/>
                <w:lang w:eastAsia="hu-HU"/>
              </w:rPr>
              <w:t>0-2 évesek</w:t>
            </w:r>
            <w:r w:rsidRPr="00A67507">
              <w:rPr>
                <w:rFonts w:cs="Calibri"/>
                <w:szCs w:val="22"/>
                <w:lang w:eastAsia="hu-HU"/>
              </w:rPr>
              <w:t xml:space="preserve"> (összes száma TS 008, aránya TS 009)</w:t>
            </w:r>
          </w:p>
        </w:tc>
        <w:tc>
          <w:tcPr>
            <w:tcW w:w="990" w:type="dxa"/>
            <w:tcBorders>
              <w:top w:val="nil"/>
              <w:left w:val="nil"/>
              <w:bottom w:val="single" w:sz="4" w:space="0" w:color="auto"/>
              <w:right w:val="single" w:sz="4" w:space="0" w:color="auto"/>
            </w:tcBorders>
            <w:shd w:val="clear" w:color="000000" w:fill="D9D9D9"/>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 </w:t>
            </w:r>
          </w:p>
        </w:tc>
        <w:tc>
          <w:tcPr>
            <w:tcW w:w="718" w:type="dxa"/>
            <w:tcBorders>
              <w:top w:val="nil"/>
              <w:left w:val="nil"/>
              <w:bottom w:val="single" w:sz="4" w:space="0" w:color="auto"/>
              <w:right w:val="single" w:sz="4" w:space="0" w:color="auto"/>
            </w:tcBorders>
            <w:shd w:val="clear" w:color="000000" w:fill="D9D9D9"/>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 </w:t>
            </w:r>
          </w:p>
        </w:tc>
        <w:tc>
          <w:tcPr>
            <w:tcW w:w="1075" w:type="dxa"/>
            <w:tcBorders>
              <w:top w:val="nil"/>
              <w:left w:val="nil"/>
              <w:bottom w:val="nil"/>
              <w:right w:val="nil"/>
            </w:tcBorders>
            <w:shd w:val="clear" w:color="auto" w:fill="auto"/>
            <w:noWrap/>
            <w:vAlign w:val="center"/>
          </w:tcPr>
          <w:p w:rsidR="00A94468" w:rsidRPr="00A67507" w:rsidRDefault="00A94468" w:rsidP="00EE4471">
            <w:pPr>
              <w:suppressAutoHyphens w:val="0"/>
              <w:jc w:val="center"/>
              <w:rPr>
                <w:rFonts w:cs="Calibri"/>
                <w:color w:val="000000"/>
                <w:szCs w:val="22"/>
                <w:lang w:eastAsia="hu-HU"/>
              </w:rPr>
            </w:pPr>
            <w:r w:rsidRPr="00A67507">
              <w:rPr>
                <w:rFonts w:cs="Calibri"/>
                <w:color w:val="000000"/>
                <w:szCs w:val="22"/>
                <w:lang w:eastAsia="hu-HU"/>
              </w:rPr>
              <w:t>147</w:t>
            </w:r>
          </w:p>
        </w:tc>
        <w:tc>
          <w:tcPr>
            <w:tcW w:w="25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3,00%</w:t>
            </w:r>
          </w:p>
        </w:tc>
      </w:tr>
      <w:tr w:rsidR="00A94468" w:rsidRPr="00A67507" w:rsidTr="00EE4471">
        <w:trPr>
          <w:trHeight w:val="600"/>
        </w:trPr>
        <w:tc>
          <w:tcPr>
            <w:tcW w:w="430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b/>
                <w:bCs/>
                <w:szCs w:val="22"/>
                <w:lang w:eastAsia="hu-HU"/>
              </w:rPr>
              <w:t>0-14 éves</w:t>
            </w:r>
            <w:r w:rsidRPr="00A67507">
              <w:rPr>
                <w:rFonts w:cs="Calibri"/>
                <w:szCs w:val="22"/>
                <w:lang w:eastAsia="hu-HU"/>
              </w:rPr>
              <w:t xml:space="preserve"> (férfiak TS 010, aránya TS 011; nők TS 012, aránya TS 013)</w:t>
            </w:r>
          </w:p>
        </w:tc>
        <w:tc>
          <w:tcPr>
            <w:tcW w:w="990" w:type="dxa"/>
            <w:tcBorders>
              <w:top w:val="nil"/>
              <w:left w:val="nil"/>
              <w:bottom w:val="single" w:sz="4" w:space="0" w:color="auto"/>
              <w:right w:val="single" w:sz="4" w:space="0" w:color="auto"/>
            </w:tcBorders>
            <w:shd w:val="clear" w:color="auto" w:fill="auto"/>
            <w:noWrap/>
            <w:vAlign w:val="center"/>
          </w:tcPr>
          <w:p w:rsidR="00A94468" w:rsidRPr="00A67507" w:rsidRDefault="00A94468" w:rsidP="00EE4471">
            <w:pPr>
              <w:suppressAutoHyphens w:val="0"/>
              <w:jc w:val="center"/>
              <w:rPr>
                <w:rFonts w:cs="Calibri"/>
                <w:color w:val="000000"/>
                <w:szCs w:val="22"/>
                <w:lang w:eastAsia="hu-HU"/>
              </w:rPr>
            </w:pPr>
            <w:r w:rsidRPr="00A67507">
              <w:rPr>
                <w:rFonts w:cs="Calibri"/>
                <w:color w:val="000000"/>
                <w:szCs w:val="22"/>
                <w:lang w:eastAsia="hu-HU"/>
              </w:rPr>
              <w:t>304</w:t>
            </w:r>
          </w:p>
        </w:tc>
        <w:tc>
          <w:tcPr>
            <w:tcW w:w="718" w:type="dxa"/>
            <w:tcBorders>
              <w:top w:val="nil"/>
              <w:left w:val="nil"/>
              <w:bottom w:val="single" w:sz="4" w:space="0" w:color="auto"/>
              <w:right w:val="single" w:sz="4" w:space="0" w:color="auto"/>
            </w:tcBorders>
            <w:shd w:val="clear" w:color="auto" w:fill="auto"/>
            <w:noWrap/>
            <w:vAlign w:val="center"/>
          </w:tcPr>
          <w:p w:rsidR="00A94468" w:rsidRPr="00A67507" w:rsidRDefault="00A94468" w:rsidP="00EE4471">
            <w:pPr>
              <w:suppressAutoHyphens w:val="0"/>
              <w:jc w:val="center"/>
              <w:rPr>
                <w:rFonts w:cs="Calibri"/>
                <w:color w:val="000000"/>
                <w:szCs w:val="22"/>
                <w:lang w:eastAsia="hu-HU"/>
              </w:rPr>
            </w:pPr>
            <w:r w:rsidRPr="00A67507">
              <w:rPr>
                <w:rFonts w:cs="Calibri"/>
                <w:color w:val="000000"/>
                <w:szCs w:val="22"/>
                <w:lang w:eastAsia="hu-HU"/>
              </w:rPr>
              <w:t>286</w:t>
            </w:r>
          </w:p>
        </w:tc>
        <w:tc>
          <w:tcPr>
            <w:tcW w:w="1075" w:type="dxa"/>
            <w:tcBorders>
              <w:top w:val="single" w:sz="4" w:space="0" w:color="auto"/>
              <w:left w:val="nil"/>
              <w:bottom w:val="single" w:sz="4" w:space="0" w:color="auto"/>
              <w:right w:val="single" w:sz="4" w:space="0" w:color="auto"/>
            </w:tcBorders>
            <w:shd w:val="clear" w:color="000000" w:fill="FCE4D6"/>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590</w:t>
            </w:r>
          </w:p>
        </w:tc>
        <w:tc>
          <w:tcPr>
            <w:tcW w:w="1417"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6,20%</w:t>
            </w:r>
          </w:p>
        </w:tc>
        <w:tc>
          <w:tcPr>
            <w:tcW w:w="1134"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5,83%</w:t>
            </w:r>
          </w:p>
        </w:tc>
      </w:tr>
      <w:tr w:rsidR="00A94468" w:rsidRPr="00A67507" w:rsidTr="00EE4471">
        <w:trPr>
          <w:trHeight w:val="600"/>
        </w:trPr>
        <w:tc>
          <w:tcPr>
            <w:tcW w:w="430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b/>
                <w:bCs/>
                <w:szCs w:val="22"/>
                <w:lang w:eastAsia="hu-HU"/>
              </w:rPr>
              <w:t>15-17 éves</w:t>
            </w:r>
            <w:r w:rsidRPr="00A67507">
              <w:rPr>
                <w:rFonts w:cs="Calibri"/>
                <w:szCs w:val="22"/>
                <w:lang w:eastAsia="hu-HU"/>
              </w:rPr>
              <w:t xml:space="preserve"> (férfiak TS 014, aránya TS 015; nők TS 016, aránya TS 017)</w:t>
            </w:r>
          </w:p>
        </w:tc>
        <w:tc>
          <w:tcPr>
            <w:tcW w:w="990" w:type="dxa"/>
            <w:tcBorders>
              <w:top w:val="nil"/>
              <w:left w:val="nil"/>
              <w:bottom w:val="single" w:sz="4" w:space="0" w:color="auto"/>
              <w:right w:val="single" w:sz="4" w:space="0" w:color="auto"/>
            </w:tcBorders>
            <w:shd w:val="clear" w:color="auto" w:fill="auto"/>
            <w:noWrap/>
            <w:vAlign w:val="center"/>
          </w:tcPr>
          <w:p w:rsidR="00A94468" w:rsidRPr="00A67507" w:rsidRDefault="00A94468" w:rsidP="00EE4471">
            <w:pPr>
              <w:suppressAutoHyphens w:val="0"/>
              <w:jc w:val="center"/>
              <w:rPr>
                <w:rFonts w:cs="Calibri"/>
                <w:color w:val="000000"/>
                <w:szCs w:val="22"/>
                <w:lang w:eastAsia="hu-HU"/>
              </w:rPr>
            </w:pPr>
            <w:r w:rsidRPr="00A67507">
              <w:rPr>
                <w:rFonts w:cs="Calibri"/>
                <w:color w:val="000000"/>
                <w:szCs w:val="22"/>
                <w:lang w:eastAsia="hu-HU"/>
              </w:rPr>
              <w:t>80</w:t>
            </w:r>
          </w:p>
        </w:tc>
        <w:tc>
          <w:tcPr>
            <w:tcW w:w="718" w:type="dxa"/>
            <w:tcBorders>
              <w:top w:val="nil"/>
              <w:left w:val="nil"/>
              <w:bottom w:val="single" w:sz="4" w:space="0" w:color="auto"/>
              <w:right w:val="single" w:sz="4" w:space="0" w:color="auto"/>
            </w:tcBorders>
            <w:shd w:val="clear" w:color="auto" w:fill="auto"/>
            <w:noWrap/>
            <w:vAlign w:val="center"/>
          </w:tcPr>
          <w:p w:rsidR="00A94468" w:rsidRPr="00A67507" w:rsidRDefault="00A94468" w:rsidP="00EE4471">
            <w:pPr>
              <w:suppressAutoHyphens w:val="0"/>
              <w:jc w:val="center"/>
              <w:rPr>
                <w:rFonts w:cs="Calibri"/>
                <w:color w:val="000000"/>
                <w:szCs w:val="22"/>
                <w:lang w:eastAsia="hu-HU"/>
              </w:rPr>
            </w:pPr>
            <w:r w:rsidRPr="00A67507">
              <w:rPr>
                <w:rFonts w:cs="Calibri"/>
                <w:color w:val="000000"/>
                <w:szCs w:val="22"/>
                <w:lang w:eastAsia="hu-HU"/>
              </w:rPr>
              <w:t>81</w:t>
            </w:r>
          </w:p>
        </w:tc>
        <w:tc>
          <w:tcPr>
            <w:tcW w:w="1075" w:type="dxa"/>
            <w:tcBorders>
              <w:top w:val="nil"/>
              <w:left w:val="nil"/>
              <w:bottom w:val="single" w:sz="4" w:space="0" w:color="auto"/>
              <w:right w:val="single" w:sz="4" w:space="0" w:color="auto"/>
            </w:tcBorders>
            <w:shd w:val="clear" w:color="000000" w:fill="FCE4D6"/>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161</w:t>
            </w:r>
          </w:p>
        </w:tc>
        <w:tc>
          <w:tcPr>
            <w:tcW w:w="1417"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1,63%</w:t>
            </w:r>
          </w:p>
        </w:tc>
        <w:tc>
          <w:tcPr>
            <w:tcW w:w="1134"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1,65%</w:t>
            </w:r>
          </w:p>
        </w:tc>
      </w:tr>
      <w:tr w:rsidR="00A94468" w:rsidRPr="00A67507" w:rsidTr="00EE4471">
        <w:trPr>
          <w:trHeight w:val="600"/>
        </w:trPr>
        <w:tc>
          <w:tcPr>
            <w:tcW w:w="430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b/>
                <w:bCs/>
                <w:szCs w:val="22"/>
                <w:lang w:eastAsia="hu-HU"/>
              </w:rPr>
              <w:t>18-59 éves</w:t>
            </w:r>
            <w:r w:rsidRPr="00A67507">
              <w:rPr>
                <w:rFonts w:cs="Calibri"/>
                <w:szCs w:val="22"/>
                <w:lang w:eastAsia="hu-HU"/>
              </w:rPr>
              <w:t xml:space="preserve"> (férfiak TS 018, aránya TS 019; nők TS 020, aránya TS 021)</w:t>
            </w:r>
          </w:p>
        </w:tc>
        <w:tc>
          <w:tcPr>
            <w:tcW w:w="990" w:type="dxa"/>
            <w:tcBorders>
              <w:top w:val="nil"/>
              <w:left w:val="nil"/>
              <w:bottom w:val="single" w:sz="4" w:space="0" w:color="auto"/>
              <w:right w:val="single" w:sz="4" w:space="0" w:color="auto"/>
            </w:tcBorders>
            <w:shd w:val="clear" w:color="auto" w:fill="auto"/>
            <w:noWrap/>
            <w:vAlign w:val="center"/>
          </w:tcPr>
          <w:p w:rsidR="00A94468" w:rsidRPr="00A67507" w:rsidRDefault="00A94468" w:rsidP="00EE4471">
            <w:pPr>
              <w:suppressAutoHyphens w:val="0"/>
              <w:jc w:val="center"/>
              <w:rPr>
                <w:rFonts w:cs="Calibri"/>
                <w:color w:val="000000"/>
                <w:szCs w:val="22"/>
                <w:lang w:eastAsia="hu-HU"/>
              </w:rPr>
            </w:pPr>
            <w:r w:rsidRPr="00A67507">
              <w:rPr>
                <w:rFonts w:cs="Calibri"/>
                <w:color w:val="000000"/>
                <w:szCs w:val="22"/>
                <w:lang w:eastAsia="hu-HU"/>
              </w:rPr>
              <w:t>1401</w:t>
            </w:r>
          </w:p>
        </w:tc>
        <w:tc>
          <w:tcPr>
            <w:tcW w:w="718" w:type="dxa"/>
            <w:tcBorders>
              <w:top w:val="nil"/>
              <w:left w:val="nil"/>
              <w:bottom w:val="single" w:sz="4" w:space="0" w:color="auto"/>
              <w:right w:val="single" w:sz="4" w:space="0" w:color="auto"/>
            </w:tcBorders>
            <w:shd w:val="clear" w:color="auto" w:fill="auto"/>
            <w:noWrap/>
            <w:vAlign w:val="center"/>
          </w:tcPr>
          <w:p w:rsidR="00A94468" w:rsidRPr="00A67507" w:rsidRDefault="00A94468" w:rsidP="00EE4471">
            <w:pPr>
              <w:suppressAutoHyphens w:val="0"/>
              <w:jc w:val="center"/>
              <w:rPr>
                <w:rFonts w:cs="Calibri"/>
                <w:color w:val="000000"/>
                <w:szCs w:val="22"/>
                <w:lang w:eastAsia="hu-HU"/>
              </w:rPr>
            </w:pPr>
            <w:r w:rsidRPr="00A67507">
              <w:rPr>
                <w:rFonts w:cs="Calibri"/>
                <w:color w:val="000000"/>
                <w:szCs w:val="22"/>
                <w:lang w:eastAsia="hu-HU"/>
              </w:rPr>
              <w:t>1336</w:t>
            </w:r>
          </w:p>
        </w:tc>
        <w:tc>
          <w:tcPr>
            <w:tcW w:w="1075" w:type="dxa"/>
            <w:tcBorders>
              <w:top w:val="nil"/>
              <w:left w:val="nil"/>
              <w:bottom w:val="single" w:sz="4" w:space="0" w:color="auto"/>
              <w:right w:val="single" w:sz="4" w:space="0" w:color="auto"/>
            </w:tcBorders>
            <w:shd w:val="clear" w:color="000000" w:fill="FCE4D6"/>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2737</w:t>
            </w:r>
          </w:p>
        </w:tc>
        <w:tc>
          <w:tcPr>
            <w:tcW w:w="1417"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28,56%</w:t>
            </w:r>
          </w:p>
        </w:tc>
        <w:tc>
          <w:tcPr>
            <w:tcW w:w="1134"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27,23%</w:t>
            </w:r>
          </w:p>
        </w:tc>
      </w:tr>
      <w:tr w:rsidR="00A94468" w:rsidRPr="00A67507" w:rsidTr="00EE4471">
        <w:trPr>
          <w:trHeight w:val="600"/>
        </w:trPr>
        <w:tc>
          <w:tcPr>
            <w:tcW w:w="430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b/>
                <w:bCs/>
                <w:szCs w:val="22"/>
                <w:lang w:eastAsia="hu-HU"/>
              </w:rPr>
              <w:t>60-64 éves</w:t>
            </w:r>
            <w:r w:rsidRPr="00A67507">
              <w:rPr>
                <w:rFonts w:cs="Calibri"/>
                <w:szCs w:val="22"/>
                <w:lang w:eastAsia="hu-HU"/>
              </w:rPr>
              <w:t xml:space="preserve"> (férfiak TS 022, aránya TS 023; nők TS 024, aránya TS 025)</w:t>
            </w:r>
          </w:p>
        </w:tc>
        <w:tc>
          <w:tcPr>
            <w:tcW w:w="990" w:type="dxa"/>
            <w:tcBorders>
              <w:top w:val="nil"/>
              <w:left w:val="nil"/>
              <w:bottom w:val="single" w:sz="4" w:space="0" w:color="auto"/>
              <w:right w:val="single" w:sz="4" w:space="0" w:color="auto"/>
            </w:tcBorders>
            <w:shd w:val="clear" w:color="auto" w:fill="auto"/>
            <w:noWrap/>
            <w:vAlign w:val="center"/>
          </w:tcPr>
          <w:p w:rsidR="00A94468" w:rsidRPr="00A67507" w:rsidRDefault="00A94468" w:rsidP="00EE4471">
            <w:pPr>
              <w:suppressAutoHyphens w:val="0"/>
              <w:jc w:val="center"/>
              <w:rPr>
                <w:rFonts w:cs="Calibri"/>
                <w:color w:val="000000"/>
                <w:szCs w:val="22"/>
                <w:lang w:eastAsia="hu-HU"/>
              </w:rPr>
            </w:pPr>
            <w:r w:rsidRPr="00A67507">
              <w:rPr>
                <w:rFonts w:cs="Calibri"/>
                <w:color w:val="000000"/>
                <w:szCs w:val="22"/>
                <w:lang w:eastAsia="hu-HU"/>
              </w:rPr>
              <w:t>205</w:t>
            </w:r>
          </w:p>
        </w:tc>
        <w:tc>
          <w:tcPr>
            <w:tcW w:w="718" w:type="dxa"/>
            <w:tcBorders>
              <w:top w:val="nil"/>
              <w:left w:val="nil"/>
              <w:bottom w:val="single" w:sz="4" w:space="0" w:color="auto"/>
              <w:right w:val="single" w:sz="4" w:space="0" w:color="auto"/>
            </w:tcBorders>
            <w:shd w:val="clear" w:color="auto" w:fill="auto"/>
            <w:noWrap/>
            <w:vAlign w:val="center"/>
          </w:tcPr>
          <w:p w:rsidR="00A94468" w:rsidRPr="00A67507" w:rsidRDefault="00A94468" w:rsidP="00EE4471">
            <w:pPr>
              <w:suppressAutoHyphens w:val="0"/>
              <w:jc w:val="center"/>
              <w:rPr>
                <w:rFonts w:cs="Calibri"/>
                <w:color w:val="000000"/>
                <w:szCs w:val="22"/>
                <w:lang w:eastAsia="hu-HU"/>
              </w:rPr>
            </w:pPr>
            <w:r w:rsidRPr="00A67507">
              <w:rPr>
                <w:rFonts w:cs="Calibri"/>
                <w:color w:val="000000"/>
                <w:szCs w:val="22"/>
                <w:lang w:eastAsia="hu-HU"/>
              </w:rPr>
              <w:t>189</w:t>
            </w:r>
          </w:p>
        </w:tc>
        <w:tc>
          <w:tcPr>
            <w:tcW w:w="1075" w:type="dxa"/>
            <w:tcBorders>
              <w:top w:val="nil"/>
              <w:left w:val="nil"/>
              <w:bottom w:val="single" w:sz="4" w:space="0" w:color="auto"/>
              <w:right w:val="single" w:sz="4" w:space="0" w:color="auto"/>
            </w:tcBorders>
            <w:shd w:val="clear" w:color="000000" w:fill="FCE4D6"/>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394</w:t>
            </w:r>
          </w:p>
        </w:tc>
        <w:tc>
          <w:tcPr>
            <w:tcW w:w="1417"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4,18%</w:t>
            </w:r>
          </w:p>
        </w:tc>
        <w:tc>
          <w:tcPr>
            <w:tcW w:w="1134"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3,85%</w:t>
            </w:r>
          </w:p>
        </w:tc>
      </w:tr>
      <w:tr w:rsidR="00A94468" w:rsidRPr="00A67507" w:rsidTr="00EE4471">
        <w:trPr>
          <w:trHeight w:val="600"/>
        </w:trPr>
        <w:tc>
          <w:tcPr>
            <w:tcW w:w="430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b/>
                <w:bCs/>
                <w:szCs w:val="22"/>
                <w:lang w:eastAsia="hu-HU"/>
              </w:rPr>
              <w:t xml:space="preserve">65 év feletti </w:t>
            </w:r>
            <w:r w:rsidRPr="00A67507">
              <w:rPr>
                <w:rFonts w:cs="Calibri"/>
                <w:szCs w:val="22"/>
                <w:lang w:eastAsia="hu-HU"/>
              </w:rPr>
              <w:t>(férfiak TS 026, aránya TS 027; nők TS 028, aránya TS 029)</w:t>
            </w:r>
          </w:p>
        </w:tc>
        <w:tc>
          <w:tcPr>
            <w:tcW w:w="990" w:type="dxa"/>
            <w:tcBorders>
              <w:top w:val="nil"/>
              <w:left w:val="nil"/>
              <w:bottom w:val="single" w:sz="4" w:space="0" w:color="auto"/>
              <w:right w:val="single" w:sz="4" w:space="0" w:color="auto"/>
            </w:tcBorders>
            <w:shd w:val="clear" w:color="auto" w:fill="auto"/>
            <w:noWrap/>
            <w:vAlign w:val="center"/>
          </w:tcPr>
          <w:p w:rsidR="00A94468" w:rsidRPr="00A67507" w:rsidRDefault="00A94468" w:rsidP="00EE4471">
            <w:pPr>
              <w:suppressAutoHyphens w:val="0"/>
              <w:jc w:val="center"/>
              <w:rPr>
                <w:rFonts w:cs="Calibri"/>
                <w:color w:val="000000"/>
                <w:szCs w:val="22"/>
                <w:lang w:eastAsia="hu-HU"/>
              </w:rPr>
            </w:pPr>
            <w:r w:rsidRPr="00A67507">
              <w:rPr>
                <w:rFonts w:cs="Calibri"/>
                <w:color w:val="000000"/>
                <w:szCs w:val="22"/>
                <w:lang w:eastAsia="hu-HU"/>
              </w:rPr>
              <w:t>370</w:t>
            </w:r>
          </w:p>
        </w:tc>
        <w:tc>
          <w:tcPr>
            <w:tcW w:w="718" w:type="dxa"/>
            <w:tcBorders>
              <w:top w:val="nil"/>
              <w:left w:val="nil"/>
              <w:bottom w:val="single" w:sz="4" w:space="0" w:color="auto"/>
              <w:right w:val="single" w:sz="4" w:space="0" w:color="auto"/>
            </w:tcBorders>
            <w:shd w:val="clear" w:color="auto" w:fill="auto"/>
            <w:noWrap/>
            <w:vAlign w:val="center"/>
          </w:tcPr>
          <w:p w:rsidR="00A94468" w:rsidRPr="00A67507" w:rsidRDefault="00A94468" w:rsidP="00EE4471">
            <w:pPr>
              <w:suppressAutoHyphens w:val="0"/>
              <w:jc w:val="center"/>
              <w:rPr>
                <w:rFonts w:cs="Calibri"/>
                <w:color w:val="000000"/>
                <w:szCs w:val="22"/>
                <w:lang w:eastAsia="hu-HU"/>
              </w:rPr>
            </w:pPr>
            <w:r w:rsidRPr="00A67507">
              <w:rPr>
                <w:rFonts w:cs="Calibri"/>
                <w:color w:val="000000"/>
                <w:szCs w:val="22"/>
                <w:lang w:eastAsia="hu-HU"/>
              </w:rPr>
              <w:t>654</w:t>
            </w:r>
          </w:p>
        </w:tc>
        <w:tc>
          <w:tcPr>
            <w:tcW w:w="1075" w:type="dxa"/>
            <w:tcBorders>
              <w:top w:val="nil"/>
              <w:left w:val="nil"/>
              <w:bottom w:val="single" w:sz="4" w:space="0" w:color="auto"/>
              <w:right w:val="single" w:sz="4" w:space="0" w:color="auto"/>
            </w:tcBorders>
            <w:shd w:val="clear" w:color="000000" w:fill="FCE4D6"/>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1024</w:t>
            </w:r>
          </w:p>
        </w:tc>
        <w:tc>
          <w:tcPr>
            <w:tcW w:w="1417"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7,54%</w:t>
            </w:r>
          </w:p>
        </w:tc>
        <w:tc>
          <w:tcPr>
            <w:tcW w:w="1134"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13,33%</w:t>
            </w:r>
          </w:p>
        </w:tc>
      </w:tr>
    </w:tbl>
    <w:p w:rsidR="00A94468" w:rsidRPr="00363517" w:rsidRDefault="00A94468" w:rsidP="00A94468">
      <w:pPr>
        <w:pStyle w:val="Tblacm"/>
        <w:rPr>
          <w:rFonts w:ascii="Times New Roman" w:hAnsi="Times New Roman"/>
          <w:sz w:val="24"/>
          <w:szCs w:val="24"/>
          <w:shd w:val="clear" w:color="auto" w:fill="00FF00"/>
        </w:rPr>
      </w:pPr>
    </w:p>
    <w:p w:rsidR="00A94468" w:rsidRPr="00A67507" w:rsidRDefault="00A94468" w:rsidP="00A94468">
      <w:pPr>
        <w:snapToGrid w:val="0"/>
        <w:jc w:val="left"/>
        <w:rPr>
          <w:rFonts w:ascii="Times New Roman" w:hAnsi="Times New Roman"/>
          <w:color w:val="000000"/>
          <w:sz w:val="24"/>
        </w:rPr>
      </w:pPr>
      <w:r w:rsidRPr="00A67507">
        <w:rPr>
          <w:rFonts w:ascii="Times New Roman" w:hAnsi="Times New Roman"/>
          <w:color w:val="000000"/>
          <w:sz w:val="24"/>
        </w:rPr>
        <w:t>Forrás: TeIR, KSH-TSTAR</w:t>
      </w:r>
    </w:p>
    <w:p w:rsidR="00A94468" w:rsidRPr="00A67507" w:rsidRDefault="00A94468" w:rsidP="00A94468">
      <w:pPr>
        <w:snapToGrid w:val="0"/>
        <w:jc w:val="left"/>
        <w:rPr>
          <w:rFonts w:ascii="Times New Roman" w:hAnsi="Times New Roman"/>
          <w:color w:val="000000"/>
          <w:sz w:val="24"/>
        </w:rPr>
      </w:pPr>
    </w:p>
    <w:p w:rsidR="00A94468" w:rsidRDefault="00A94468" w:rsidP="00A94468">
      <w:pPr>
        <w:snapToGrid w:val="0"/>
        <w:jc w:val="left"/>
      </w:pPr>
      <w:r w:rsidRPr="003B56EA">
        <w:rPr>
          <w:noProof/>
          <w:lang w:eastAsia="hu-HU"/>
        </w:rPr>
        <w:drawing>
          <wp:inline distT="0" distB="0" distL="0" distR="0" wp14:anchorId="19EE570F" wp14:editId="678E8C6D">
            <wp:extent cx="4391025" cy="2524125"/>
            <wp:effectExtent l="0" t="0" r="0" b="0"/>
            <wp:docPr id="5" name="Diagram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94468" w:rsidRDefault="00A94468" w:rsidP="00A94468">
      <w:pPr>
        <w:snapToGrid w:val="0"/>
        <w:jc w:val="left"/>
      </w:pPr>
    </w:p>
    <w:p w:rsidR="00A94468" w:rsidRDefault="00A94468" w:rsidP="00A94468">
      <w:pPr>
        <w:snapToGrid w:val="0"/>
        <w:jc w:val="left"/>
      </w:pPr>
      <w:r w:rsidRPr="003B56EA">
        <w:rPr>
          <w:noProof/>
          <w:lang w:eastAsia="hu-HU"/>
        </w:rPr>
        <w:drawing>
          <wp:inline distT="0" distB="0" distL="0" distR="0" wp14:anchorId="62AE115B" wp14:editId="4ADCAF24">
            <wp:extent cx="4391025" cy="2581275"/>
            <wp:effectExtent l="0" t="0" r="0" b="0"/>
            <wp:docPr id="4" name="Diagram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94468" w:rsidRDefault="00A94468" w:rsidP="00A94468">
      <w:pPr>
        <w:snapToGrid w:val="0"/>
        <w:jc w:val="left"/>
      </w:pPr>
    </w:p>
    <w:p w:rsidR="00A94468" w:rsidRDefault="00A94468" w:rsidP="00A94468">
      <w:pPr>
        <w:snapToGrid w:val="0"/>
        <w:jc w:val="left"/>
      </w:pPr>
    </w:p>
    <w:p w:rsidR="00A94468" w:rsidRDefault="00A94468" w:rsidP="00A94468">
      <w:pPr>
        <w:snapToGrid w:val="0"/>
        <w:rPr>
          <w:rFonts w:ascii="Times New Roman" w:hAnsi="Times New Roman"/>
          <w:sz w:val="24"/>
        </w:rPr>
      </w:pPr>
      <w:r w:rsidRPr="000775AB">
        <w:rPr>
          <w:rFonts w:ascii="Times New Roman" w:hAnsi="Times New Roman"/>
          <w:sz w:val="24"/>
        </w:rPr>
        <w:t xml:space="preserve">A táblázat adatai azt mutatják meg, hogy </w:t>
      </w:r>
      <w:r>
        <w:rPr>
          <w:rFonts w:ascii="Times New Roman" w:hAnsi="Times New Roman"/>
          <w:sz w:val="24"/>
        </w:rPr>
        <w:t xml:space="preserve">2018-ban hogyan alakult az állandó népesség nemek és korcsoportok szerinti aránya. A 0-2 éves korú gyermekek nemenkénti arányát a statisztikai adatbázis nem tartalmazza. A 2-64 éves korosztályban a nemek aránya kiegyenlítődött, míg a 65 év felettieknél sajnos jól látszik, hogy majdnem kétszer annyi 65 éven felüli nő él településünkön, mint férfi. Saját felméréseinkből tudjuk azt is, hogy e 65 éven felüliek többsége egyedül, egyszemélyes háztartásában éli nyugdíjas mindennapjait. A nyugdíjaskorúak Csorvás állandó népességének közel 21%-át adták 2018-ban. </w:t>
      </w:r>
    </w:p>
    <w:p w:rsidR="00A94468" w:rsidRDefault="00A94468" w:rsidP="00A94468">
      <w:pPr>
        <w:snapToGrid w:val="0"/>
        <w:rPr>
          <w:rFonts w:ascii="Times New Roman" w:hAnsi="Times New Roman"/>
          <w:sz w:val="24"/>
        </w:rPr>
      </w:pPr>
      <w:r>
        <w:rPr>
          <w:rFonts w:ascii="Times New Roman" w:hAnsi="Times New Roman"/>
          <w:sz w:val="24"/>
        </w:rPr>
        <w:t xml:space="preserve">Érdekes adat a településen élő aktív korúak száma, ők a 2018-as évben 2737-en voltak, akik a város 4906 fős állandó népességének közel 56%-át tették ki. </w:t>
      </w:r>
    </w:p>
    <w:p w:rsidR="00A94468" w:rsidRPr="004273B9" w:rsidRDefault="00A94468" w:rsidP="00A94468">
      <w:pPr>
        <w:snapToGrid w:val="0"/>
        <w:rPr>
          <w:rFonts w:ascii="Times New Roman" w:hAnsi="Times New Roman"/>
          <w:sz w:val="24"/>
        </w:rPr>
      </w:pPr>
      <w:r w:rsidRPr="004273B9">
        <w:rPr>
          <w:rFonts w:ascii="Times New Roman" w:hAnsi="Times New Roman"/>
          <w:sz w:val="24"/>
        </w:rPr>
        <w:t xml:space="preserve">A kiskorúak aránya az állandó népességen belül 15,3 % volt, mert ők 2018-ban 751-en voltak. </w:t>
      </w:r>
    </w:p>
    <w:p w:rsidR="00A94468" w:rsidRPr="004273B9" w:rsidRDefault="00A94468" w:rsidP="00A94468">
      <w:pPr>
        <w:snapToGrid w:val="0"/>
        <w:rPr>
          <w:rFonts w:ascii="Times New Roman" w:hAnsi="Times New Roman"/>
          <w:sz w:val="24"/>
        </w:rPr>
      </w:pPr>
      <w:r w:rsidRPr="004273B9">
        <w:rPr>
          <w:rFonts w:ascii="Times New Roman" w:hAnsi="Times New Roman"/>
          <w:sz w:val="24"/>
        </w:rPr>
        <w:t xml:space="preserve">A kiskorúak nyugdíjaskorúakhoz mért aránya 73,3 % volt, ez azt jelenti, hogy még a növekvő születésszám ellenére sem állt meg a település elöregedése, még mindig legalább 25%-kal több gyermekáldásra van szükség ahhoz, hogy az elöregedés kimutathatósága megálljon, és a település lakossága ha nem is növekedést produkálna, de legalább stagnálna, és további gyermekszám-növekedéssel elérhető lenne a város lakosságának lassú növekedése is. Azonban ha a települést járási, kistérségi vagy megyei kitekintésben vizsgáljuk, meggyőződhetünk arról, hogy az itt vizsgált népességfogyás, a túl lassú és kismértékű születésszám-növekedés, az elvándorlás és a települések elöregedése a Csorvás környezetében elhelyezkedő legnagyobb részére egyaránt érvényes. </w:t>
      </w:r>
    </w:p>
    <w:p w:rsidR="00A94468" w:rsidRPr="004273B9" w:rsidRDefault="00A94468" w:rsidP="00A94468">
      <w:pPr>
        <w:snapToGrid w:val="0"/>
        <w:rPr>
          <w:rFonts w:ascii="Times New Roman" w:hAnsi="Times New Roman"/>
          <w:sz w:val="24"/>
        </w:rPr>
      </w:pPr>
    </w:p>
    <w:p w:rsidR="00A94468" w:rsidRPr="004273B9" w:rsidRDefault="00A94468" w:rsidP="00A94468">
      <w:pPr>
        <w:snapToGrid w:val="0"/>
        <w:rPr>
          <w:rFonts w:ascii="Times New Roman" w:hAnsi="Times New Roman"/>
          <w:color w:val="000000"/>
          <w:sz w:val="24"/>
          <w:shd w:val="clear" w:color="auto" w:fill="00FF00"/>
        </w:rPr>
      </w:pPr>
      <w:r w:rsidRPr="004273B9">
        <w:rPr>
          <w:rFonts w:ascii="Times New Roman" w:hAnsi="Times New Roman"/>
          <w:sz w:val="24"/>
          <w:shd w:val="clear" w:color="auto" w:fill="00FF00"/>
        </w:rPr>
        <w:t xml:space="preserve">3. számú táblázat - </w:t>
      </w:r>
      <w:r w:rsidRPr="004273B9">
        <w:rPr>
          <w:rFonts w:ascii="Times New Roman" w:hAnsi="Times New Roman"/>
          <w:color w:val="000000"/>
          <w:sz w:val="24"/>
          <w:shd w:val="clear" w:color="auto" w:fill="00FF00"/>
        </w:rPr>
        <w:t>Öregedési index</w:t>
      </w:r>
    </w:p>
    <w:p w:rsidR="00A94468" w:rsidRDefault="00A94468" w:rsidP="00A94468">
      <w:pPr>
        <w:snapToGrid w:val="0"/>
        <w:jc w:val="left"/>
      </w:pPr>
    </w:p>
    <w:tbl>
      <w:tblPr>
        <w:tblW w:w="6740" w:type="dxa"/>
        <w:tblInd w:w="75" w:type="dxa"/>
        <w:tblCellMar>
          <w:left w:w="70" w:type="dxa"/>
          <w:right w:w="70" w:type="dxa"/>
        </w:tblCellMar>
        <w:tblLook w:val="04A0" w:firstRow="1" w:lastRow="0" w:firstColumn="1" w:lastColumn="0" w:noHBand="0" w:noVBand="1"/>
      </w:tblPr>
      <w:tblGrid>
        <w:gridCol w:w="1260"/>
        <w:gridCol w:w="2000"/>
        <w:gridCol w:w="1920"/>
        <w:gridCol w:w="1560"/>
      </w:tblGrid>
      <w:tr w:rsidR="00A94468" w:rsidRPr="00A67507" w:rsidTr="00EE4471">
        <w:trPr>
          <w:trHeight w:val="1635"/>
        </w:trPr>
        <w:tc>
          <w:tcPr>
            <w:tcW w:w="1260" w:type="dxa"/>
            <w:tcBorders>
              <w:top w:val="single" w:sz="4" w:space="0" w:color="auto"/>
              <w:left w:val="single" w:sz="4" w:space="0" w:color="auto"/>
              <w:bottom w:val="single" w:sz="4" w:space="0" w:color="auto"/>
              <w:right w:val="single" w:sz="4" w:space="0" w:color="auto"/>
            </w:tcBorders>
            <w:shd w:val="clear" w:color="000000" w:fill="E2EFDA"/>
            <w:noWrap/>
            <w:vAlign w:val="center"/>
          </w:tcPr>
          <w:p w:rsidR="00A94468" w:rsidRPr="00A67507" w:rsidRDefault="00A94468" w:rsidP="00EE4471">
            <w:pPr>
              <w:suppressAutoHyphens w:val="0"/>
              <w:jc w:val="center"/>
              <w:rPr>
                <w:rFonts w:cs="Calibri"/>
                <w:b/>
                <w:bCs/>
                <w:szCs w:val="22"/>
                <w:lang w:eastAsia="hu-HU"/>
              </w:rPr>
            </w:pPr>
            <w:r w:rsidRPr="00A67507">
              <w:rPr>
                <w:rFonts w:cs="Calibri"/>
                <w:b/>
                <w:bCs/>
                <w:szCs w:val="22"/>
                <w:lang w:eastAsia="hu-HU"/>
              </w:rPr>
              <w:t>Év</w:t>
            </w:r>
          </w:p>
        </w:tc>
        <w:tc>
          <w:tcPr>
            <w:tcW w:w="2000" w:type="dxa"/>
            <w:tcBorders>
              <w:top w:val="single" w:sz="4" w:space="0" w:color="auto"/>
              <w:left w:val="nil"/>
              <w:bottom w:val="single" w:sz="4" w:space="0" w:color="auto"/>
              <w:right w:val="single" w:sz="4" w:space="0" w:color="auto"/>
            </w:tcBorders>
            <w:shd w:val="clear" w:color="000000" w:fill="E2EFDA"/>
            <w:vAlign w:val="center"/>
          </w:tcPr>
          <w:p w:rsidR="00A94468" w:rsidRPr="00A67507" w:rsidRDefault="00A94468" w:rsidP="00EE4471">
            <w:pPr>
              <w:suppressAutoHyphens w:val="0"/>
              <w:jc w:val="center"/>
              <w:rPr>
                <w:rFonts w:cs="Calibri"/>
                <w:b/>
                <w:bCs/>
                <w:szCs w:val="22"/>
                <w:lang w:eastAsia="hu-HU"/>
              </w:rPr>
            </w:pPr>
            <w:r w:rsidRPr="00A67507">
              <w:rPr>
                <w:rFonts w:cs="Calibri"/>
                <w:b/>
                <w:bCs/>
                <w:szCs w:val="22"/>
                <w:lang w:eastAsia="hu-HU"/>
              </w:rPr>
              <w:t>65 év feletti állandó lakosok száma (fő)</w:t>
            </w:r>
            <w:r w:rsidRPr="00A67507">
              <w:rPr>
                <w:rFonts w:cs="Calibri"/>
                <w:b/>
                <w:bCs/>
                <w:szCs w:val="22"/>
                <w:lang w:eastAsia="hu-HU"/>
              </w:rPr>
              <w:br/>
            </w:r>
            <w:r w:rsidRPr="00A67507">
              <w:rPr>
                <w:rFonts w:cs="Calibri"/>
                <w:szCs w:val="22"/>
                <w:lang w:eastAsia="hu-HU"/>
              </w:rPr>
              <w:t>(TS 026 és TS 028 összesen)</w:t>
            </w:r>
          </w:p>
        </w:tc>
        <w:tc>
          <w:tcPr>
            <w:tcW w:w="1920" w:type="dxa"/>
            <w:tcBorders>
              <w:top w:val="single" w:sz="4" w:space="0" w:color="auto"/>
              <w:left w:val="nil"/>
              <w:bottom w:val="single" w:sz="4" w:space="0" w:color="auto"/>
              <w:right w:val="single" w:sz="4" w:space="0" w:color="auto"/>
            </w:tcBorders>
            <w:shd w:val="clear" w:color="000000" w:fill="E2EFDA"/>
            <w:vAlign w:val="center"/>
          </w:tcPr>
          <w:p w:rsidR="00A94468" w:rsidRPr="00A67507" w:rsidRDefault="00A94468" w:rsidP="00EE4471">
            <w:pPr>
              <w:suppressAutoHyphens w:val="0"/>
              <w:jc w:val="center"/>
              <w:rPr>
                <w:rFonts w:cs="Calibri"/>
                <w:b/>
                <w:bCs/>
                <w:szCs w:val="22"/>
                <w:lang w:eastAsia="hu-HU"/>
              </w:rPr>
            </w:pPr>
            <w:r w:rsidRPr="00A67507">
              <w:rPr>
                <w:rFonts w:cs="Calibri"/>
                <w:b/>
                <w:bCs/>
                <w:szCs w:val="22"/>
                <w:lang w:eastAsia="hu-HU"/>
              </w:rPr>
              <w:t>0-14 éves korú állandó lakosok száma (fő)</w:t>
            </w:r>
            <w:r w:rsidRPr="00A67507">
              <w:rPr>
                <w:rFonts w:cs="Calibri"/>
                <w:b/>
                <w:bCs/>
                <w:szCs w:val="22"/>
                <w:lang w:eastAsia="hu-HU"/>
              </w:rPr>
              <w:br/>
            </w:r>
            <w:r w:rsidRPr="00A67507">
              <w:rPr>
                <w:rFonts w:cs="Calibri"/>
                <w:szCs w:val="22"/>
                <w:lang w:eastAsia="hu-HU"/>
              </w:rPr>
              <w:t>(TS 010 és TS 012 összesen)</w:t>
            </w:r>
          </w:p>
        </w:tc>
        <w:tc>
          <w:tcPr>
            <w:tcW w:w="1560" w:type="dxa"/>
            <w:tcBorders>
              <w:top w:val="single" w:sz="4" w:space="0" w:color="auto"/>
              <w:left w:val="nil"/>
              <w:bottom w:val="single" w:sz="4" w:space="0" w:color="auto"/>
              <w:right w:val="single" w:sz="4" w:space="0" w:color="auto"/>
            </w:tcBorders>
            <w:shd w:val="clear" w:color="000000" w:fill="E2EFDA"/>
            <w:vAlign w:val="center"/>
          </w:tcPr>
          <w:p w:rsidR="00A94468" w:rsidRPr="00A67507" w:rsidRDefault="00A94468" w:rsidP="00EE4471">
            <w:pPr>
              <w:suppressAutoHyphens w:val="0"/>
              <w:jc w:val="center"/>
              <w:rPr>
                <w:rFonts w:cs="Calibri"/>
                <w:b/>
                <w:bCs/>
                <w:szCs w:val="22"/>
                <w:lang w:eastAsia="hu-HU"/>
              </w:rPr>
            </w:pPr>
            <w:r w:rsidRPr="00A67507">
              <w:rPr>
                <w:rFonts w:cs="Calibri"/>
                <w:b/>
                <w:bCs/>
                <w:szCs w:val="22"/>
                <w:lang w:eastAsia="hu-HU"/>
              </w:rPr>
              <w:br/>
              <w:t>Öregedési index</w:t>
            </w:r>
            <w:r w:rsidRPr="00A67507">
              <w:rPr>
                <w:rFonts w:cs="Calibri"/>
                <w:b/>
                <w:bCs/>
                <w:szCs w:val="22"/>
                <w:lang w:eastAsia="hu-HU"/>
              </w:rPr>
              <w:br/>
              <w:t xml:space="preserve">% </w:t>
            </w:r>
            <w:r w:rsidRPr="00A67507">
              <w:rPr>
                <w:rFonts w:cs="Calibri"/>
                <w:b/>
                <w:bCs/>
                <w:szCs w:val="22"/>
                <w:lang w:eastAsia="hu-HU"/>
              </w:rPr>
              <w:br/>
            </w:r>
            <w:r w:rsidRPr="00A67507">
              <w:rPr>
                <w:rFonts w:cs="Calibri"/>
                <w:szCs w:val="22"/>
                <w:lang w:eastAsia="hu-HU"/>
              </w:rPr>
              <w:t>(TS 030)</w:t>
            </w:r>
          </w:p>
        </w:tc>
      </w:tr>
      <w:tr w:rsidR="00A94468" w:rsidRPr="00A67507" w:rsidTr="00EE4471">
        <w:trPr>
          <w:trHeight w:val="600"/>
        </w:trPr>
        <w:tc>
          <w:tcPr>
            <w:tcW w:w="126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2015</w:t>
            </w:r>
          </w:p>
        </w:tc>
        <w:tc>
          <w:tcPr>
            <w:tcW w:w="2000" w:type="dxa"/>
            <w:tcBorders>
              <w:top w:val="nil"/>
              <w:left w:val="nil"/>
              <w:bottom w:val="single" w:sz="4" w:space="0" w:color="auto"/>
              <w:right w:val="single" w:sz="4" w:space="0" w:color="auto"/>
            </w:tcBorders>
            <w:shd w:val="clear" w:color="000000" w:fill="FCE4D6"/>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1 027</w:t>
            </w:r>
          </w:p>
        </w:tc>
        <w:tc>
          <w:tcPr>
            <w:tcW w:w="1920" w:type="dxa"/>
            <w:tcBorders>
              <w:top w:val="nil"/>
              <w:left w:val="nil"/>
              <w:bottom w:val="single" w:sz="4" w:space="0" w:color="auto"/>
              <w:right w:val="single" w:sz="4" w:space="0" w:color="auto"/>
            </w:tcBorders>
            <w:shd w:val="clear" w:color="000000" w:fill="FCE4D6"/>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598</w:t>
            </w:r>
          </w:p>
        </w:tc>
        <w:tc>
          <w:tcPr>
            <w:tcW w:w="1560"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171,74%</w:t>
            </w:r>
          </w:p>
        </w:tc>
      </w:tr>
      <w:tr w:rsidR="00A94468" w:rsidRPr="00A67507" w:rsidTr="00EE4471">
        <w:trPr>
          <w:trHeight w:val="600"/>
        </w:trPr>
        <w:tc>
          <w:tcPr>
            <w:tcW w:w="126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2016</w:t>
            </w:r>
          </w:p>
        </w:tc>
        <w:tc>
          <w:tcPr>
            <w:tcW w:w="2000" w:type="dxa"/>
            <w:tcBorders>
              <w:top w:val="nil"/>
              <w:left w:val="nil"/>
              <w:bottom w:val="single" w:sz="4" w:space="0" w:color="auto"/>
              <w:right w:val="single" w:sz="4" w:space="0" w:color="auto"/>
            </w:tcBorders>
            <w:shd w:val="clear" w:color="000000" w:fill="FCE4D6"/>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1 023</w:t>
            </w:r>
          </w:p>
        </w:tc>
        <w:tc>
          <w:tcPr>
            <w:tcW w:w="1920" w:type="dxa"/>
            <w:tcBorders>
              <w:top w:val="nil"/>
              <w:left w:val="nil"/>
              <w:bottom w:val="single" w:sz="4" w:space="0" w:color="auto"/>
              <w:right w:val="single" w:sz="4" w:space="0" w:color="auto"/>
            </w:tcBorders>
            <w:shd w:val="clear" w:color="000000" w:fill="FCE4D6"/>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613</w:t>
            </w:r>
          </w:p>
        </w:tc>
        <w:tc>
          <w:tcPr>
            <w:tcW w:w="1560"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166,88%</w:t>
            </w:r>
          </w:p>
        </w:tc>
      </w:tr>
      <w:tr w:rsidR="00A94468" w:rsidRPr="00A67507" w:rsidTr="00EE4471">
        <w:trPr>
          <w:trHeight w:val="600"/>
        </w:trPr>
        <w:tc>
          <w:tcPr>
            <w:tcW w:w="126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2017</w:t>
            </w:r>
          </w:p>
        </w:tc>
        <w:tc>
          <w:tcPr>
            <w:tcW w:w="2000" w:type="dxa"/>
            <w:tcBorders>
              <w:top w:val="nil"/>
              <w:left w:val="nil"/>
              <w:bottom w:val="single" w:sz="4" w:space="0" w:color="auto"/>
              <w:right w:val="single" w:sz="4" w:space="0" w:color="auto"/>
            </w:tcBorders>
            <w:shd w:val="clear" w:color="000000" w:fill="FCE4D6"/>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1 013</w:t>
            </w:r>
          </w:p>
        </w:tc>
        <w:tc>
          <w:tcPr>
            <w:tcW w:w="1920" w:type="dxa"/>
            <w:tcBorders>
              <w:top w:val="nil"/>
              <w:left w:val="nil"/>
              <w:bottom w:val="single" w:sz="4" w:space="0" w:color="auto"/>
              <w:right w:val="single" w:sz="4" w:space="0" w:color="auto"/>
            </w:tcBorders>
            <w:shd w:val="clear" w:color="000000" w:fill="FCE4D6"/>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632</w:t>
            </w:r>
          </w:p>
        </w:tc>
        <w:tc>
          <w:tcPr>
            <w:tcW w:w="1560"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160,28%</w:t>
            </w:r>
          </w:p>
        </w:tc>
      </w:tr>
      <w:tr w:rsidR="00A94468" w:rsidRPr="00A67507" w:rsidTr="00EE4471">
        <w:trPr>
          <w:trHeight w:val="600"/>
        </w:trPr>
        <w:tc>
          <w:tcPr>
            <w:tcW w:w="126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2018</w:t>
            </w:r>
          </w:p>
        </w:tc>
        <w:tc>
          <w:tcPr>
            <w:tcW w:w="2000" w:type="dxa"/>
            <w:tcBorders>
              <w:top w:val="nil"/>
              <w:left w:val="nil"/>
              <w:bottom w:val="single" w:sz="4" w:space="0" w:color="auto"/>
              <w:right w:val="single" w:sz="4" w:space="0" w:color="auto"/>
            </w:tcBorders>
            <w:shd w:val="clear" w:color="000000" w:fill="FCE4D6"/>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1 024</w:t>
            </w:r>
          </w:p>
        </w:tc>
        <w:tc>
          <w:tcPr>
            <w:tcW w:w="1920" w:type="dxa"/>
            <w:tcBorders>
              <w:top w:val="nil"/>
              <w:left w:val="nil"/>
              <w:bottom w:val="single" w:sz="4" w:space="0" w:color="auto"/>
              <w:right w:val="single" w:sz="4" w:space="0" w:color="auto"/>
            </w:tcBorders>
            <w:shd w:val="clear" w:color="000000" w:fill="FCE4D6"/>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590</w:t>
            </w:r>
          </w:p>
        </w:tc>
        <w:tc>
          <w:tcPr>
            <w:tcW w:w="1560"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173,56%</w:t>
            </w:r>
          </w:p>
        </w:tc>
      </w:tr>
      <w:tr w:rsidR="00A94468" w:rsidRPr="00A67507" w:rsidTr="00EE4471">
        <w:trPr>
          <w:trHeight w:val="600"/>
        </w:trPr>
        <w:tc>
          <w:tcPr>
            <w:tcW w:w="126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2019</w:t>
            </w:r>
          </w:p>
        </w:tc>
        <w:tc>
          <w:tcPr>
            <w:tcW w:w="2000" w:type="dxa"/>
            <w:tcBorders>
              <w:top w:val="nil"/>
              <w:left w:val="nil"/>
              <w:bottom w:val="single" w:sz="4" w:space="0" w:color="auto"/>
              <w:right w:val="single" w:sz="4" w:space="0" w:color="auto"/>
            </w:tcBorders>
            <w:shd w:val="clear" w:color="000000" w:fill="FCE4D6"/>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1 023</w:t>
            </w:r>
          </w:p>
        </w:tc>
        <w:tc>
          <w:tcPr>
            <w:tcW w:w="1920" w:type="dxa"/>
            <w:tcBorders>
              <w:top w:val="nil"/>
              <w:left w:val="nil"/>
              <w:bottom w:val="single" w:sz="4" w:space="0" w:color="auto"/>
              <w:right w:val="single" w:sz="4" w:space="0" w:color="auto"/>
            </w:tcBorders>
            <w:shd w:val="clear" w:color="000000" w:fill="FCE4D6"/>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581</w:t>
            </w:r>
          </w:p>
        </w:tc>
        <w:tc>
          <w:tcPr>
            <w:tcW w:w="1560"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176,08%</w:t>
            </w:r>
          </w:p>
        </w:tc>
      </w:tr>
      <w:tr w:rsidR="00A94468" w:rsidRPr="00A67507" w:rsidTr="00EE4471">
        <w:trPr>
          <w:trHeight w:val="600"/>
        </w:trPr>
        <w:tc>
          <w:tcPr>
            <w:tcW w:w="126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2020</w:t>
            </w:r>
          </w:p>
        </w:tc>
        <w:tc>
          <w:tcPr>
            <w:tcW w:w="2000" w:type="dxa"/>
            <w:tcBorders>
              <w:top w:val="nil"/>
              <w:left w:val="nil"/>
              <w:bottom w:val="single" w:sz="4" w:space="0" w:color="auto"/>
              <w:right w:val="single" w:sz="4" w:space="0" w:color="auto"/>
            </w:tcBorders>
            <w:shd w:val="clear" w:color="000000" w:fill="FCE4D6"/>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n.a.</w:t>
            </w:r>
          </w:p>
        </w:tc>
        <w:tc>
          <w:tcPr>
            <w:tcW w:w="1920" w:type="dxa"/>
            <w:tcBorders>
              <w:top w:val="nil"/>
              <w:left w:val="nil"/>
              <w:bottom w:val="single" w:sz="4" w:space="0" w:color="auto"/>
              <w:right w:val="single" w:sz="4" w:space="0" w:color="auto"/>
            </w:tcBorders>
            <w:shd w:val="clear" w:color="000000" w:fill="FCE4D6"/>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n.a.</w:t>
            </w:r>
          </w:p>
        </w:tc>
        <w:tc>
          <w:tcPr>
            <w:tcW w:w="1560"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w:t>
            </w:r>
          </w:p>
        </w:tc>
      </w:tr>
    </w:tbl>
    <w:p w:rsidR="00A94468" w:rsidRDefault="00A94468" w:rsidP="00A94468">
      <w:pPr>
        <w:snapToGrid w:val="0"/>
        <w:jc w:val="left"/>
      </w:pPr>
    </w:p>
    <w:p w:rsidR="00A94468" w:rsidRPr="00A67507" w:rsidRDefault="00A94468" w:rsidP="00A94468">
      <w:pPr>
        <w:snapToGrid w:val="0"/>
        <w:jc w:val="left"/>
        <w:rPr>
          <w:rFonts w:ascii="Times New Roman" w:hAnsi="Times New Roman"/>
          <w:sz w:val="24"/>
        </w:rPr>
      </w:pPr>
      <w:r w:rsidRPr="00A67507">
        <w:rPr>
          <w:rFonts w:ascii="Times New Roman" w:hAnsi="Times New Roman"/>
          <w:sz w:val="24"/>
        </w:rPr>
        <w:t>Forrás: TeIR, KSH-TSTAR</w:t>
      </w:r>
    </w:p>
    <w:p w:rsidR="00A94468" w:rsidRDefault="00A94468" w:rsidP="00A94468">
      <w:pPr>
        <w:snapToGrid w:val="0"/>
        <w:jc w:val="left"/>
      </w:pPr>
    </w:p>
    <w:p w:rsidR="00A94468" w:rsidRDefault="00A94468" w:rsidP="00A94468">
      <w:pPr>
        <w:snapToGrid w:val="0"/>
        <w:jc w:val="left"/>
      </w:pPr>
      <w:r w:rsidRPr="003B56EA">
        <w:rPr>
          <w:noProof/>
          <w:lang w:eastAsia="hu-HU"/>
        </w:rPr>
        <w:drawing>
          <wp:inline distT="0" distB="0" distL="0" distR="0" wp14:anchorId="0F37E52D" wp14:editId="6E5FB4CE">
            <wp:extent cx="4905375" cy="2714625"/>
            <wp:effectExtent l="0" t="0" r="0" b="0"/>
            <wp:docPr id="3" name="Diagram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Start w:id="11" w:name="__RefHeading__35_1906745769"/>
      <w:bookmarkEnd w:id="11"/>
    </w:p>
    <w:p w:rsidR="00A94468" w:rsidRPr="00A67507" w:rsidRDefault="00A94468" w:rsidP="00A94468">
      <w:pPr>
        <w:snapToGrid w:val="0"/>
        <w:jc w:val="left"/>
        <w:rPr>
          <w:rFonts w:ascii="Times New Roman" w:hAnsi="Times New Roman"/>
          <w:sz w:val="24"/>
        </w:rPr>
      </w:pPr>
    </w:p>
    <w:p w:rsidR="00A94468" w:rsidRDefault="00A94468" w:rsidP="00A94468">
      <w:pPr>
        <w:snapToGrid w:val="0"/>
        <w:rPr>
          <w:rFonts w:ascii="Times New Roman" w:hAnsi="Times New Roman"/>
          <w:sz w:val="24"/>
        </w:rPr>
      </w:pPr>
      <w:r>
        <w:rPr>
          <w:rFonts w:ascii="Times New Roman" w:hAnsi="Times New Roman"/>
          <w:sz w:val="24"/>
        </w:rPr>
        <w:t xml:space="preserve">A 3. számú táblázat a település elöregedését mutatja. Az előzőekben már ismertettük, hogy az utóbbi években a születésszám ha kismértékben is, de nőtt, a halálozások száma viszont nem csökkent, és a 65 éven felüli lakosok is a település egyre nagyobb hányadát teszik ki. Az idősek magas aránya a róluk való gondoskodás sokoldalúságában kell, hogy megmutatkozzon. A gondoskodás különböző formáit bizonyos társadalmi szerveződések és intézményeink biztosítják, azonban mindig akadnak olyan újabb intézkedési lehetőségek, amelyekkel az őket érintő körülményeken javítani tudunk. Ez a táblázat arra világít rá, hogy ez milyen fontos társadalmi feladatunk. </w:t>
      </w:r>
    </w:p>
    <w:p w:rsidR="00A94468" w:rsidRPr="00A67507" w:rsidRDefault="00A94468" w:rsidP="00A94468">
      <w:pPr>
        <w:snapToGrid w:val="0"/>
        <w:rPr>
          <w:rFonts w:ascii="Times New Roman" w:hAnsi="Times New Roman"/>
          <w:sz w:val="24"/>
        </w:rPr>
      </w:pPr>
    </w:p>
    <w:p w:rsidR="00A94468" w:rsidRDefault="00A94468" w:rsidP="00A94468">
      <w:pPr>
        <w:pStyle w:val="Tblacm"/>
        <w:rPr>
          <w:rFonts w:ascii="Times New Roman" w:hAnsi="Times New Roman"/>
          <w:color w:val="000000"/>
          <w:sz w:val="24"/>
          <w:szCs w:val="24"/>
          <w:shd w:val="clear" w:color="auto" w:fill="00FF00"/>
        </w:rPr>
      </w:pPr>
      <w:r w:rsidRPr="00363517">
        <w:rPr>
          <w:rFonts w:ascii="Times New Roman" w:hAnsi="Times New Roman"/>
          <w:sz w:val="24"/>
          <w:szCs w:val="24"/>
          <w:shd w:val="clear" w:color="auto" w:fill="00FF00"/>
        </w:rPr>
        <w:t>4. számú táblázat</w:t>
      </w:r>
      <w:r w:rsidRPr="00363517">
        <w:rPr>
          <w:rFonts w:ascii="Times New Roman" w:hAnsi="Times New Roman"/>
          <w:b/>
          <w:color w:val="000000"/>
          <w:sz w:val="24"/>
          <w:szCs w:val="24"/>
          <w:shd w:val="clear" w:color="auto" w:fill="00FF00"/>
        </w:rPr>
        <w:t xml:space="preserve"> - </w:t>
      </w:r>
      <w:r w:rsidRPr="00363517">
        <w:rPr>
          <w:rFonts w:ascii="Times New Roman" w:hAnsi="Times New Roman"/>
          <w:color w:val="000000"/>
          <w:sz w:val="24"/>
          <w:szCs w:val="24"/>
          <w:shd w:val="clear" w:color="auto" w:fill="00FF00"/>
        </w:rPr>
        <w:t>Belföldi vándorlások</w:t>
      </w:r>
    </w:p>
    <w:p w:rsidR="00A94468" w:rsidRDefault="00A94468" w:rsidP="00A94468">
      <w:pPr>
        <w:pStyle w:val="Tblacm"/>
        <w:rPr>
          <w:rFonts w:ascii="Times New Roman" w:hAnsi="Times New Roman"/>
          <w:color w:val="000000"/>
          <w:sz w:val="24"/>
          <w:szCs w:val="24"/>
          <w:shd w:val="clear" w:color="auto" w:fill="00FF00"/>
        </w:rPr>
      </w:pPr>
    </w:p>
    <w:tbl>
      <w:tblPr>
        <w:tblW w:w="5820" w:type="dxa"/>
        <w:tblInd w:w="75" w:type="dxa"/>
        <w:tblCellMar>
          <w:left w:w="70" w:type="dxa"/>
          <w:right w:w="70" w:type="dxa"/>
        </w:tblCellMar>
        <w:tblLook w:val="04A0" w:firstRow="1" w:lastRow="0" w:firstColumn="1" w:lastColumn="0" w:noHBand="0" w:noVBand="1"/>
      </w:tblPr>
      <w:tblGrid>
        <w:gridCol w:w="2300"/>
        <w:gridCol w:w="3520"/>
      </w:tblGrid>
      <w:tr w:rsidR="00A94468" w:rsidRPr="00A67507" w:rsidTr="00EE4471">
        <w:trPr>
          <w:trHeight w:val="1635"/>
        </w:trPr>
        <w:tc>
          <w:tcPr>
            <w:tcW w:w="2300" w:type="dxa"/>
            <w:tcBorders>
              <w:top w:val="single" w:sz="4" w:space="0" w:color="auto"/>
              <w:left w:val="single" w:sz="4" w:space="0" w:color="auto"/>
              <w:bottom w:val="single" w:sz="4" w:space="0" w:color="auto"/>
              <w:right w:val="single" w:sz="4" w:space="0" w:color="auto"/>
            </w:tcBorders>
            <w:shd w:val="clear" w:color="000000" w:fill="E2EFDA"/>
            <w:noWrap/>
            <w:vAlign w:val="center"/>
          </w:tcPr>
          <w:p w:rsidR="00A94468" w:rsidRPr="00A67507" w:rsidRDefault="00A94468" w:rsidP="00EE4471">
            <w:pPr>
              <w:suppressAutoHyphens w:val="0"/>
              <w:jc w:val="center"/>
              <w:rPr>
                <w:rFonts w:cs="Calibri"/>
                <w:b/>
                <w:bCs/>
                <w:szCs w:val="22"/>
                <w:lang w:eastAsia="hu-HU"/>
              </w:rPr>
            </w:pPr>
            <w:r w:rsidRPr="00A67507">
              <w:rPr>
                <w:rFonts w:cs="Calibri"/>
                <w:b/>
                <w:bCs/>
                <w:szCs w:val="22"/>
                <w:lang w:eastAsia="hu-HU"/>
              </w:rPr>
              <w:t>Év</w:t>
            </w:r>
          </w:p>
        </w:tc>
        <w:tc>
          <w:tcPr>
            <w:tcW w:w="3520" w:type="dxa"/>
            <w:tcBorders>
              <w:top w:val="single" w:sz="4" w:space="0" w:color="auto"/>
              <w:left w:val="nil"/>
              <w:bottom w:val="single" w:sz="4" w:space="0" w:color="auto"/>
              <w:right w:val="single" w:sz="4" w:space="0" w:color="auto"/>
            </w:tcBorders>
            <w:shd w:val="clear" w:color="000000" w:fill="E2EFDA"/>
            <w:vAlign w:val="center"/>
          </w:tcPr>
          <w:p w:rsidR="00A94468" w:rsidRPr="00A67507" w:rsidRDefault="00A94468" w:rsidP="00EE4471">
            <w:pPr>
              <w:suppressAutoHyphens w:val="0"/>
              <w:jc w:val="center"/>
              <w:rPr>
                <w:rFonts w:cs="Calibri"/>
                <w:b/>
                <w:bCs/>
                <w:szCs w:val="22"/>
                <w:lang w:eastAsia="hu-HU"/>
              </w:rPr>
            </w:pPr>
            <w:r w:rsidRPr="00A67507">
              <w:rPr>
                <w:rFonts w:cs="Calibri"/>
                <w:b/>
                <w:bCs/>
                <w:szCs w:val="22"/>
                <w:lang w:eastAsia="hu-HU"/>
              </w:rPr>
              <w:t>Állandó oda-, és elvándorlások különbségének 1000 állandó lakosra vetített száma (fő)</w:t>
            </w:r>
            <w:r w:rsidRPr="00A67507">
              <w:rPr>
                <w:rFonts w:cs="Calibri"/>
                <w:b/>
                <w:bCs/>
                <w:szCs w:val="22"/>
                <w:lang w:eastAsia="hu-HU"/>
              </w:rPr>
              <w:br/>
            </w:r>
            <w:r w:rsidRPr="00A67507">
              <w:rPr>
                <w:rFonts w:cs="Calibri"/>
                <w:szCs w:val="22"/>
                <w:lang w:eastAsia="hu-HU"/>
              </w:rPr>
              <w:t>(TS 031)</w:t>
            </w:r>
          </w:p>
        </w:tc>
      </w:tr>
      <w:tr w:rsidR="00A94468" w:rsidRPr="00A67507" w:rsidTr="00EE4471">
        <w:trPr>
          <w:trHeight w:val="600"/>
        </w:trPr>
        <w:tc>
          <w:tcPr>
            <w:tcW w:w="230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2015</w:t>
            </w:r>
          </w:p>
        </w:tc>
        <w:tc>
          <w:tcPr>
            <w:tcW w:w="3520" w:type="dxa"/>
            <w:tcBorders>
              <w:top w:val="nil"/>
              <w:left w:val="nil"/>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-0,62</w:t>
            </w:r>
          </w:p>
        </w:tc>
      </w:tr>
      <w:tr w:rsidR="00A94468" w:rsidRPr="00A67507" w:rsidTr="00EE4471">
        <w:trPr>
          <w:trHeight w:val="600"/>
        </w:trPr>
        <w:tc>
          <w:tcPr>
            <w:tcW w:w="230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2016</w:t>
            </w:r>
          </w:p>
        </w:tc>
        <w:tc>
          <w:tcPr>
            <w:tcW w:w="3520" w:type="dxa"/>
            <w:tcBorders>
              <w:top w:val="nil"/>
              <w:left w:val="nil"/>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2,52</w:t>
            </w:r>
          </w:p>
        </w:tc>
      </w:tr>
      <w:tr w:rsidR="00A94468" w:rsidRPr="00A67507" w:rsidTr="00EE4471">
        <w:trPr>
          <w:trHeight w:val="600"/>
        </w:trPr>
        <w:tc>
          <w:tcPr>
            <w:tcW w:w="230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2017</w:t>
            </w:r>
          </w:p>
        </w:tc>
        <w:tc>
          <w:tcPr>
            <w:tcW w:w="3520" w:type="dxa"/>
            <w:tcBorders>
              <w:top w:val="nil"/>
              <w:left w:val="nil"/>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1,90</w:t>
            </w:r>
          </w:p>
        </w:tc>
      </w:tr>
      <w:tr w:rsidR="00A94468" w:rsidRPr="00A67507" w:rsidTr="00EE4471">
        <w:trPr>
          <w:trHeight w:val="600"/>
        </w:trPr>
        <w:tc>
          <w:tcPr>
            <w:tcW w:w="230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2018</w:t>
            </w:r>
          </w:p>
        </w:tc>
        <w:tc>
          <w:tcPr>
            <w:tcW w:w="3520" w:type="dxa"/>
            <w:tcBorders>
              <w:top w:val="nil"/>
              <w:left w:val="nil"/>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-9,81</w:t>
            </w:r>
          </w:p>
        </w:tc>
      </w:tr>
      <w:tr w:rsidR="00A94468" w:rsidRPr="00A67507" w:rsidTr="00EE4471">
        <w:trPr>
          <w:trHeight w:val="600"/>
        </w:trPr>
        <w:tc>
          <w:tcPr>
            <w:tcW w:w="230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2019</w:t>
            </w:r>
          </w:p>
        </w:tc>
        <w:tc>
          <w:tcPr>
            <w:tcW w:w="3520" w:type="dxa"/>
            <w:tcBorders>
              <w:top w:val="nil"/>
              <w:left w:val="nil"/>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-5,63</w:t>
            </w:r>
          </w:p>
        </w:tc>
      </w:tr>
      <w:tr w:rsidR="00A94468" w:rsidRPr="00A67507" w:rsidTr="00EE4471">
        <w:trPr>
          <w:trHeight w:val="600"/>
        </w:trPr>
        <w:tc>
          <w:tcPr>
            <w:tcW w:w="230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2020</w:t>
            </w:r>
          </w:p>
        </w:tc>
        <w:tc>
          <w:tcPr>
            <w:tcW w:w="3520" w:type="dxa"/>
            <w:tcBorders>
              <w:top w:val="nil"/>
              <w:left w:val="nil"/>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n.a.</w:t>
            </w:r>
          </w:p>
        </w:tc>
      </w:tr>
    </w:tbl>
    <w:p w:rsidR="00A94468" w:rsidRDefault="00A94468" w:rsidP="00A94468">
      <w:pPr>
        <w:pStyle w:val="Tblacm"/>
        <w:rPr>
          <w:rFonts w:ascii="Times New Roman" w:hAnsi="Times New Roman"/>
          <w:color w:val="000000"/>
          <w:sz w:val="24"/>
          <w:szCs w:val="24"/>
          <w:shd w:val="clear" w:color="auto" w:fill="00FF00"/>
        </w:rPr>
      </w:pPr>
    </w:p>
    <w:p w:rsidR="00A94468" w:rsidRDefault="00A94468" w:rsidP="00A94468">
      <w:pPr>
        <w:snapToGrid w:val="0"/>
        <w:jc w:val="left"/>
        <w:rPr>
          <w:rFonts w:ascii="Times New Roman" w:hAnsi="Times New Roman"/>
          <w:sz w:val="24"/>
        </w:rPr>
      </w:pPr>
      <w:r w:rsidRPr="008D485C">
        <w:rPr>
          <w:rFonts w:ascii="Times New Roman" w:hAnsi="Times New Roman"/>
          <w:sz w:val="24"/>
        </w:rPr>
        <w:t>Forrás: TeIR, KSH-TSTAR</w:t>
      </w:r>
    </w:p>
    <w:p w:rsidR="00A94468" w:rsidRDefault="00A94468" w:rsidP="00A94468">
      <w:pPr>
        <w:snapToGrid w:val="0"/>
        <w:jc w:val="left"/>
        <w:rPr>
          <w:rFonts w:ascii="Times New Roman" w:hAnsi="Times New Roman"/>
          <w:sz w:val="24"/>
        </w:rPr>
      </w:pPr>
    </w:p>
    <w:p w:rsidR="00A94468" w:rsidRPr="008D485C" w:rsidRDefault="00A94468" w:rsidP="00A94468">
      <w:pPr>
        <w:snapToGrid w:val="0"/>
        <w:rPr>
          <w:rFonts w:ascii="Times New Roman" w:hAnsi="Times New Roman"/>
          <w:sz w:val="24"/>
        </w:rPr>
      </w:pPr>
      <w:r>
        <w:rPr>
          <w:rFonts w:ascii="Times New Roman" w:hAnsi="Times New Roman"/>
          <w:sz w:val="24"/>
        </w:rPr>
        <w:t xml:space="preserve">A település lakossága elöregedőben van, ez állapítható meg az eddigi táblázatokból. A fenti táblázat azonban megmutatja azt is, hogy ehhez a szomorú tényhez az elvándorlás is hozzájárul. Az elvándorlókat általában azok az aktív korúak teszik ki, akik nagykorúként másik teleülés közép- vagy felsőfokú oktatási intézményében tanulnak, és ott létesítenek lakcímet, valamit azok, akik a munkaerőpiacon való biztosabb elhelyezkedésük okán keresnek olyan lakókörnyezetet, ahonnan biztosabban munkahelyet szerezhetnek. Ők többségében már családosak, és településünkről való távozásuk nemcsak az ő, hanem gyermekeik hiányával is jár a későbbiekben, ez mutatkozik meg az elmúlt évtizedek jelentős mértékű óvodás és általános iskolás gyermeklétszámának csökkenésében is. </w:t>
      </w:r>
    </w:p>
    <w:p w:rsidR="00A94468" w:rsidRDefault="00A94468" w:rsidP="00A94468">
      <w:pPr>
        <w:pStyle w:val="Tblacm"/>
        <w:rPr>
          <w:rFonts w:ascii="Times New Roman" w:hAnsi="Times New Roman"/>
          <w:color w:val="000000"/>
          <w:sz w:val="24"/>
          <w:szCs w:val="24"/>
          <w:shd w:val="clear" w:color="auto" w:fill="00FF00"/>
        </w:rPr>
      </w:pPr>
      <w:r w:rsidRPr="003B56EA">
        <w:rPr>
          <w:noProof/>
          <w:lang w:eastAsia="hu-HU"/>
        </w:rPr>
        <w:drawing>
          <wp:inline distT="0" distB="0" distL="0" distR="0" wp14:anchorId="68A82B49" wp14:editId="16917174">
            <wp:extent cx="4448175" cy="2828925"/>
            <wp:effectExtent l="0" t="0" r="0" b="0"/>
            <wp:docPr id="2"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94468" w:rsidRDefault="00A94468" w:rsidP="00A94468">
      <w:pPr>
        <w:pStyle w:val="Tblacm"/>
        <w:rPr>
          <w:rFonts w:ascii="Times New Roman" w:hAnsi="Times New Roman"/>
          <w:color w:val="000000"/>
          <w:sz w:val="24"/>
          <w:szCs w:val="24"/>
          <w:shd w:val="clear" w:color="auto" w:fill="00FF00"/>
        </w:rPr>
      </w:pPr>
    </w:p>
    <w:p w:rsidR="00A94468" w:rsidRPr="00363517" w:rsidRDefault="00A94468" w:rsidP="00A94468">
      <w:pPr>
        <w:pStyle w:val="Tblacm"/>
        <w:rPr>
          <w:rFonts w:ascii="Times New Roman" w:hAnsi="Times New Roman"/>
          <w:color w:val="000000"/>
          <w:sz w:val="24"/>
          <w:szCs w:val="24"/>
          <w:shd w:val="clear" w:color="auto" w:fill="00FF00"/>
        </w:rPr>
      </w:pPr>
    </w:p>
    <w:p w:rsidR="00A94468" w:rsidRDefault="00A94468" w:rsidP="00A94468">
      <w:pPr>
        <w:pStyle w:val="Tblacm"/>
        <w:rPr>
          <w:rFonts w:ascii="Times New Roman" w:hAnsi="Times New Roman"/>
          <w:sz w:val="24"/>
          <w:szCs w:val="24"/>
          <w:shd w:val="clear" w:color="auto" w:fill="00FF00"/>
        </w:rPr>
      </w:pPr>
      <w:r w:rsidRPr="00363517">
        <w:rPr>
          <w:rFonts w:ascii="Times New Roman" w:hAnsi="Times New Roman"/>
          <w:sz w:val="24"/>
          <w:szCs w:val="24"/>
          <w:shd w:val="clear" w:color="auto" w:fill="00FF00"/>
        </w:rPr>
        <w:t>5. számú táblázat - Természetes szaporodás</w:t>
      </w:r>
    </w:p>
    <w:p w:rsidR="00A94468" w:rsidRDefault="00A94468" w:rsidP="00A94468">
      <w:pPr>
        <w:pStyle w:val="Tblacm"/>
        <w:rPr>
          <w:rFonts w:ascii="Times New Roman" w:hAnsi="Times New Roman"/>
          <w:sz w:val="24"/>
          <w:szCs w:val="24"/>
          <w:shd w:val="clear" w:color="auto" w:fill="00FF00"/>
        </w:rPr>
      </w:pPr>
    </w:p>
    <w:tbl>
      <w:tblPr>
        <w:tblW w:w="5300" w:type="dxa"/>
        <w:tblInd w:w="75" w:type="dxa"/>
        <w:tblCellMar>
          <w:left w:w="70" w:type="dxa"/>
          <w:right w:w="70" w:type="dxa"/>
        </w:tblCellMar>
        <w:tblLook w:val="04A0" w:firstRow="1" w:lastRow="0" w:firstColumn="1" w:lastColumn="0" w:noHBand="0" w:noVBand="1"/>
      </w:tblPr>
      <w:tblGrid>
        <w:gridCol w:w="1920"/>
        <w:gridCol w:w="3380"/>
      </w:tblGrid>
      <w:tr w:rsidR="00A94468" w:rsidRPr="00A67507" w:rsidTr="00EE4471">
        <w:trPr>
          <w:trHeight w:val="1635"/>
        </w:trPr>
        <w:tc>
          <w:tcPr>
            <w:tcW w:w="1920" w:type="dxa"/>
            <w:tcBorders>
              <w:top w:val="single" w:sz="4" w:space="0" w:color="auto"/>
              <w:left w:val="single" w:sz="4" w:space="0" w:color="auto"/>
              <w:bottom w:val="single" w:sz="4" w:space="0" w:color="auto"/>
              <w:right w:val="single" w:sz="4" w:space="0" w:color="auto"/>
            </w:tcBorders>
            <w:shd w:val="clear" w:color="000000" w:fill="E2EFDA"/>
            <w:noWrap/>
            <w:vAlign w:val="center"/>
          </w:tcPr>
          <w:p w:rsidR="00A94468" w:rsidRPr="00A67507" w:rsidRDefault="00A94468" w:rsidP="00EE4471">
            <w:pPr>
              <w:suppressAutoHyphens w:val="0"/>
              <w:jc w:val="center"/>
              <w:rPr>
                <w:rFonts w:cs="Calibri"/>
                <w:b/>
                <w:bCs/>
                <w:szCs w:val="22"/>
                <w:lang w:eastAsia="hu-HU"/>
              </w:rPr>
            </w:pPr>
            <w:r w:rsidRPr="00A67507">
              <w:rPr>
                <w:rFonts w:cs="Calibri"/>
                <w:b/>
                <w:bCs/>
                <w:szCs w:val="22"/>
                <w:lang w:eastAsia="hu-HU"/>
              </w:rPr>
              <w:t>Év</w:t>
            </w:r>
          </w:p>
        </w:tc>
        <w:tc>
          <w:tcPr>
            <w:tcW w:w="3380" w:type="dxa"/>
            <w:tcBorders>
              <w:top w:val="single" w:sz="4" w:space="0" w:color="auto"/>
              <w:left w:val="nil"/>
              <w:bottom w:val="single" w:sz="4" w:space="0" w:color="auto"/>
              <w:right w:val="single" w:sz="4" w:space="0" w:color="auto"/>
            </w:tcBorders>
            <w:shd w:val="clear" w:color="000000" w:fill="E2EFDA"/>
            <w:vAlign w:val="center"/>
          </w:tcPr>
          <w:p w:rsidR="00A94468" w:rsidRPr="00A67507" w:rsidRDefault="00A94468" w:rsidP="00EE4471">
            <w:pPr>
              <w:suppressAutoHyphens w:val="0"/>
              <w:jc w:val="center"/>
              <w:rPr>
                <w:rFonts w:cs="Calibri"/>
                <w:b/>
                <w:bCs/>
                <w:szCs w:val="22"/>
                <w:lang w:eastAsia="hu-HU"/>
              </w:rPr>
            </w:pPr>
            <w:r w:rsidRPr="00A67507">
              <w:rPr>
                <w:rFonts w:cs="Calibri"/>
                <w:b/>
                <w:bCs/>
                <w:szCs w:val="22"/>
                <w:lang w:eastAsia="hu-HU"/>
              </w:rPr>
              <w:t>Az élve születések és halálozások különbözetének 1000 lakosra vetített száma (fő)</w:t>
            </w:r>
            <w:r w:rsidRPr="00A67507">
              <w:rPr>
                <w:rFonts w:cs="Calibri"/>
                <w:b/>
                <w:bCs/>
                <w:szCs w:val="22"/>
                <w:lang w:eastAsia="hu-HU"/>
              </w:rPr>
              <w:br/>
            </w:r>
            <w:r w:rsidRPr="00A67507">
              <w:rPr>
                <w:rFonts w:cs="Calibri"/>
                <w:szCs w:val="22"/>
                <w:lang w:eastAsia="hu-HU"/>
              </w:rPr>
              <w:t>(TS 032)</w:t>
            </w:r>
          </w:p>
        </w:tc>
      </w:tr>
      <w:tr w:rsidR="00A94468" w:rsidRPr="00A67507" w:rsidTr="00EE4471">
        <w:trPr>
          <w:trHeight w:val="600"/>
        </w:trPr>
        <w:tc>
          <w:tcPr>
            <w:tcW w:w="192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2015</w:t>
            </w:r>
          </w:p>
        </w:tc>
        <w:tc>
          <w:tcPr>
            <w:tcW w:w="3380" w:type="dxa"/>
            <w:tcBorders>
              <w:top w:val="nil"/>
              <w:left w:val="nil"/>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-16,56</w:t>
            </w:r>
          </w:p>
        </w:tc>
      </w:tr>
      <w:tr w:rsidR="00A94468" w:rsidRPr="00A67507" w:rsidTr="00EE4471">
        <w:trPr>
          <w:trHeight w:val="600"/>
        </w:trPr>
        <w:tc>
          <w:tcPr>
            <w:tcW w:w="192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2016</w:t>
            </w:r>
          </w:p>
        </w:tc>
        <w:tc>
          <w:tcPr>
            <w:tcW w:w="3380" w:type="dxa"/>
            <w:tcBorders>
              <w:top w:val="nil"/>
              <w:left w:val="nil"/>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-10,28</w:t>
            </w:r>
          </w:p>
        </w:tc>
      </w:tr>
      <w:tr w:rsidR="00A94468" w:rsidRPr="00A67507" w:rsidTr="00EE4471">
        <w:trPr>
          <w:trHeight w:val="600"/>
        </w:trPr>
        <w:tc>
          <w:tcPr>
            <w:tcW w:w="192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2017</w:t>
            </w:r>
          </w:p>
        </w:tc>
        <w:tc>
          <w:tcPr>
            <w:tcW w:w="3380" w:type="dxa"/>
            <w:tcBorders>
              <w:top w:val="nil"/>
              <w:left w:val="nil"/>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-10,14</w:t>
            </w:r>
          </w:p>
        </w:tc>
      </w:tr>
      <w:tr w:rsidR="00A94468" w:rsidRPr="00A67507" w:rsidTr="00EE4471">
        <w:trPr>
          <w:trHeight w:val="600"/>
        </w:trPr>
        <w:tc>
          <w:tcPr>
            <w:tcW w:w="192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2018</w:t>
            </w:r>
          </w:p>
        </w:tc>
        <w:tc>
          <w:tcPr>
            <w:tcW w:w="3380" w:type="dxa"/>
            <w:tcBorders>
              <w:top w:val="nil"/>
              <w:left w:val="nil"/>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-5,76</w:t>
            </w:r>
          </w:p>
        </w:tc>
      </w:tr>
      <w:tr w:rsidR="00A94468" w:rsidRPr="00A67507" w:rsidTr="00EE4471">
        <w:trPr>
          <w:trHeight w:val="600"/>
        </w:trPr>
        <w:tc>
          <w:tcPr>
            <w:tcW w:w="192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2019</w:t>
            </w:r>
          </w:p>
        </w:tc>
        <w:tc>
          <w:tcPr>
            <w:tcW w:w="3380" w:type="dxa"/>
            <w:tcBorders>
              <w:top w:val="nil"/>
              <w:left w:val="nil"/>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-13,00</w:t>
            </w:r>
          </w:p>
        </w:tc>
      </w:tr>
      <w:tr w:rsidR="00A94468" w:rsidRPr="00A67507" w:rsidTr="00EE4471">
        <w:trPr>
          <w:trHeight w:val="600"/>
        </w:trPr>
        <w:tc>
          <w:tcPr>
            <w:tcW w:w="192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2020</w:t>
            </w:r>
          </w:p>
        </w:tc>
        <w:tc>
          <w:tcPr>
            <w:tcW w:w="3380" w:type="dxa"/>
            <w:tcBorders>
              <w:top w:val="nil"/>
              <w:left w:val="nil"/>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n.a.</w:t>
            </w:r>
          </w:p>
        </w:tc>
      </w:tr>
    </w:tbl>
    <w:p w:rsidR="00A94468" w:rsidRDefault="00A94468" w:rsidP="00A94468">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rPr>
      </w:pPr>
    </w:p>
    <w:p w:rsidR="00A94468" w:rsidRPr="004E6244" w:rsidRDefault="00A94468" w:rsidP="00A94468">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4E6244">
        <w:rPr>
          <w:rFonts w:ascii="Times New Roman" w:hAnsi="Times New Roman"/>
          <w:szCs w:val="22"/>
        </w:rPr>
        <w:t>Forrás: TeIR, KSH-T</w:t>
      </w:r>
      <w:r>
        <w:rPr>
          <w:rFonts w:ascii="Times New Roman" w:hAnsi="Times New Roman"/>
          <w:szCs w:val="22"/>
        </w:rPr>
        <w:t>STAR</w:t>
      </w:r>
    </w:p>
    <w:p w:rsidR="00A94468" w:rsidRPr="00363517" w:rsidRDefault="00A94468" w:rsidP="00A94468">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rPr>
      </w:pPr>
    </w:p>
    <w:p w:rsidR="00A94468" w:rsidRDefault="00A94468" w:rsidP="00A94468">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rPr>
      </w:pPr>
      <w:r w:rsidRPr="003B56EA">
        <w:rPr>
          <w:noProof/>
          <w:lang w:eastAsia="hu-HU"/>
        </w:rPr>
        <w:drawing>
          <wp:inline distT="0" distB="0" distL="0" distR="0" wp14:anchorId="64BA3220" wp14:editId="5621DE4C">
            <wp:extent cx="4429125" cy="2847975"/>
            <wp:effectExtent l="0" t="0" r="0" b="0"/>
            <wp:docPr id="1"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94468" w:rsidRDefault="00A94468" w:rsidP="00A94468">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rPr>
      </w:pPr>
    </w:p>
    <w:p w:rsidR="00A94468" w:rsidRPr="00363517" w:rsidRDefault="00A94468" w:rsidP="00A94468">
      <w:pPr>
        <w:ind w:firstLine="709"/>
        <w:rPr>
          <w:rFonts w:ascii="Times New Roman" w:hAnsi="Times New Roman"/>
          <w:sz w:val="24"/>
        </w:rPr>
      </w:pPr>
      <w:r w:rsidRPr="00363517">
        <w:rPr>
          <w:rFonts w:ascii="Times New Roman" w:hAnsi="Times New Roman"/>
          <w:sz w:val="24"/>
        </w:rPr>
        <w:t xml:space="preserve">Csorvás népessége legmagasabb értékét a negyvenes évek végén, az ötvenes évek elején érte el, amikor is a lakónépesség meghaladta a hétezer-nyolcszáz főt. Ezt követően azonban előbb enyhe, majd pedig egy valamelyest gyorsabb ütemű népességcsökkenés figyelhető meg. Ennek oka eleinte a népesség elvándorlása volt, amit később tovább erősített a természetes fogyás is. 1960-1970 között 928 fővel csökkent a lakosság száma, amelynek oka az volt, </w:t>
      </w:r>
      <w:r>
        <w:rPr>
          <w:rFonts w:ascii="Times New Roman" w:hAnsi="Times New Roman"/>
          <w:sz w:val="24"/>
        </w:rPr>
        <w:t xml:space="preserve">hogy </w:t>
      </w:r>
      <w:r w:rsidRPr="00363517">
        <w:rPr>
          <w:rFonts w:ascii="Times New Roman" w:hAnsi="Times New Roman"/>
          <w:sz w:val="24"/>
        </w:rPr>
        <w:t>1960-as években végrehajtott tsz-esítés miatt főleg fiatalok távoztak a településről és az ő hiányuk a következő évek természetes szaporodásánál is jól kimutatható. Az élveszületések és halálozások negatív egyenlege a 90-es évek második felétől egyre markánsabban jelenik meg, amit 1998-tól részben ellensúlyoz a szerény mértékű, pozitívra váltó vándorlási egyenleg. 2006-tól 2014-ig az elvándorlók száma is magasabb volt, mint a bevándorlóké. Csorvásra napjainkig a népesség csökkenése volt jellemző, de a lakónépesség enyhe növekedése, az öregedési index csökkenése és az odavándorlások elvándorlásokhoz viszonyított aránya bizakodásra adhat okot. A születések száma még mindig jóval alacsonyabb évente, mint az elhalálozások száma. A fiatalok egy része munkalehetőség hiányában elköltözik a munkát kínáló városokba.</w:t>
      </w:r>
    </w:p>
    <w:p w:rsidR="00A94468" w:rsidRDefault="00A94468" w:rsidP="00A94468">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690C01">
        <w:rPr>
          <w:rFonts w:ascii="Times New Roman" w:hAnsi="Times New Roman"/>
          <w:color w:val="000000"/>
          <w:sz w:val="24"/>
        </w:rPr>
        <w:t>Az elmúlt években az oda- és elvándorlások egyenlege újra negatívba ment át, és a születések száma is csökkent.</w:t>
      </w:r>
    </w:p>
    <w:p w:rsidR="00A94468" w:rsidRPr="00690C01" w:rsidRDefault="00A94468" w:rsidP="00A94468">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A94468" w:rsidRPr="00690C01" w:rsidRDefault="00A94468" w:rsidP="00A94468">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Pr>
          <w:rFonts w:ascii="Times New Roman" w:hAnsi="Times New Roman"/>
          <w:color w:val="000000"/>
          <w:sz w:val="24"/>
        </w:rPr>
        <w:t>Némi reményre adhat okot, hogy 2020-ban</w:t>
      </w:r>
      <w:r w:rsidRPr="00690C01">
        <w:rPr>
          <w:rFonts w:ascii="Times New Roman" w:hAnsi="Times New Roman"/>
          <w:color w:val="000000"/>
          <w:sz w:val="24"/>
        </w:rPr>
        <w:t xml:space="preserve"> már héttel többen költöztek a településre, mint ahányan innen elköltöztek, és megfordult az ezt megelőző év élveszületések és halálozások arányát mutató negatív rekordja. 2019-ben ugyanis még az elhunytak számának egyharmadát kitevő számú gyermek született településünkön, 2020-ban azonban már fele annyi gyermek született, mint ahány lakosunk halálozott el, tehát az éves születésszám jelentős emelkedése mellett az éves halálozások számának stagnálása mutatható ki. </w:t>
      </w:r>
    </w:p>
    <w:p w:rsidR="00A94468" w:rsidRPr="00363517" w:rsidRDefault="00A94468" w:rsidP="00A94468">
      <w:pPr>
        <w:rPr>
          <w:rFonts w:ascii="Times New Roman" w:hAnsi="Times New Roman"/>
          <w:i/>
          <w:sz w:val="24"/>
          <w:u w:val="single"/>
        </w:rPr>
      </w:pPr>
    </w:p>
    <w:p w:rsidR="00A94468" w:rsidRPr="00363517" w:rsidRDefault="00A94468" w:rsidP="00A94468">
      <w:pPr>
        <w:rPr>
          <w:rFonts w:ascii="Times New Roman" w:hAnsi="Times New Roman"/>
          <w:i/>
          <w:sz w:val="24"/>
          <w:u w:val="single"/>
        </w:rPr>
      </w:pPr>
      <w:r>
        <w:rPr>
          <w:rFonts w:ascii="Times New Roman" w:hAnsi="Times New Roman"/>
          <w:i/>
          <w:sz w:val="24"/>
          <w:u w:val="single"/>
        </w:rPr>
        <w:br w:type="page"/>
      </w:r>
      <w:r w:rsidRPr="00363517">
        <w:rPr>
          <w:rFonts w:ascii="Times New Roman" w:hAnsi="Times New Roman"/>
          <w:i/>
          <w:sz w:val="24"/>
          <w:u w:val="single"/>
        </w:rPr>
        <w:t>A Helyi Esélyegyenlőségi Program tekintetében vizsgálva:</w:t>
      </w:r>
    </w:p>
    <w:p w:rsidR="00A94468" w:rsidRPr="00363517" w:rsidRDefault="00A94468" w:rsidP="00A94468">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A94468" w:rsidRPr="00B67F91" w:rsidRDefault="00A94468" w:rsidP="00A94468">
      <w:pPr>
        <w:rPr>
          <w:rFonts w:ascii="Times New Roman" w:hAnsi="Times New Roman"/>
          <w:sz w:val="24"/>
        </w:rPr>
      </w:pPr>
      <w:r w:rsidRPr="00FA03FA">
        <w:rPr>
          <w:rFonts w:ascii="Times New Roman" w:hAnsi="Times New Roman"/>
          <w:i/>
          <w:sz w:val="24"/>
        </w:rPr>
        <w:t>Mélyszegénységben élők és romák:</w:t>
      </w:r>
      <w:r>
        <w:rPr>
          <w:rFonts w:ascii="Times New Roman" w:hAnsi="Times New Roman"/>
          <w:sz w:val="24"/>
        </w:rPr>
        <w:t xml:space="preserve"> </w:t>
      </w:r>
      <w:r w:rsidRPr="00363517">
        <w:rPr>
          <w:rFonts w:ascii="Times New Roman" w:hAnsi="Times New Roman"/>
          <w:sz w:val="24"/>
        </w:rPr>
        <w:t>Csorváson két nemzetiségi önkormányzat működik, a Csorvási Szlovák-, és a Csorvási Roma Önkormányzat.</w:t>
      </w:r>
      <w:r w:rsidRPr="00363517">
        <w:rPr>
          <w:rFonts w:ascii="Times New Roman" w:hAnsi="Times New Roman"/>
          <w:color w:val="FF0000"/>
          <w:sz w:val="24"/>
        </w:rPr>
        <w:t xml:space="preserve"> </w:t>
      </w:r>
      <w:r w:rsidRPr="00690C01">
        <w:rPr>
          <w:rFonts w:ascii="Times New Roman" w:hAnsi="Times New Roman"/>
          <w:color w:val="000000"/>
          <w:sz w:val="24"/>
        </w:rPr>
        <w:t>Egyes mérések szerint</w:t>
      </w:r>
      <w:r w:rsidRPr="00363517">
        <w:rPr>
          <w:rFonts w:ascii="Times New Roman" w:hAnsi="Times New Roman"/>
          <w:color w:val="000000"/>
          <w:sz w:val="24"/>
        </w:rPr>
        <w:t xml:space="preserve"> a település lakosságának kb. 0,5 %-a roma.</w:t>
      </w:r>
      <w:r w:rsidRPr="00363517">
        <w:rPr>
          <w:rFonts w:ascii="Times New Roman" w:hAnsi="Times New Roman"/>
          <w:color w:val="FF0000"/>
          <w:sz w:val="24"/>
        </w:rPr>
        <w:t xml:space="preserve"> </w:t>
      </w:r>
      <w:r w:rsidRPr="00363517">
        <w:rPr>
          <w:rFonts w:ascii="Times New Roman" w:hAnsi="Times New Roman"/>
          <w:sz w:val="24"/>
        </w:rPr>
        <w:t>Településünkön nincsenek szegregátumok, elszigetelt telepek, azonban néhány család a belterülettől néhány km-re található tanyavilágban él.</w:t>
      </w:r>
      <w:r w:rsidRPr="00363517">
        <w:rPr>
          <w:rFonts w:ascii="Times New Roman" w:hAnsi="Times New Roman"/>
          <w:color w:val="FF0000"/>
          <w:sz w:val="24"/>
        </w:rPr>
        <w:t xml:space="preserve"> </w:t>
      </w:r>
      <w:r w:rsidRPr="00B67F91">
        <w:rPr>
          <w:rFonts w:ascii="Times New Roman" w:hAnsi="Times New Roman"/>
          <w:sz w:val="24"/>
        </w:rPr>
        <w:t xml:space="preserve">A mélyszegénységben élők kimutatása </w:t>
      </w:r>
      <w:r>
        <w:rPr>
          <w:rFonts w:ascii="Times New Roman" w:hAnsi="Times New Roman"/>
          <w:sz w:val="24"/>
        </w:rPr>
        <w:t xml:space="preserve">nem foglalható össze néhány mondatban, arra a következő fejezetben térünk ki. </w:t>
      </w:r>
    </w:p>
    <w:p w:rsidR="00A94468" w:rsidRPr="00363517" w:rsidRDefault="00A94468" w:rsidP="00A94468">
      <w:pPr>
        <w:rPr>
          <w:rFonts w:ascii="Times New Roman" w:hAnsi="Times New Roman"/>
          <w:sz w:val="24"/>
        </w:rPr>
      </w:pPr>
    </w:p>
    <w:p w:rsidR="00A94468" w:rsidRDefault="00A94468" w:rsidP="00A94468">
      <w:pPr>
        <w:rPr>
          <w:rFonts w:ascii="Times New Roman" w:hAnsi="Times New Roman"/>
          <w:color w:val="000000"/>
          <w:sz w:val="24"/>
        </w:rPr>
      </w:pPr>
      <w:r w:rsidRPr="00FA03FA">
        <w:rPr>
          <w:rFonts w:ascii="Times New Roman" w:hAnsi="Times New Roman"/>
          <w:i/>
          <w:sz w:val="24"/>
        </w:rPr>
        <w:t>Gyermekek:</w:t>
      </w:r>
      <w:r>
        <w:rPr>
          <w:rFonts w:ascii="Times New Roman" w:hAnsi="Times New Roman"/>
          <w:sz w:val="24"/>
        </w:rPr>
        <w:t xml:space="preserve"> </w:t>
      </w:r>
      <w:r w:rsidRPr="00363517">
        <w:rPr>
          <w:rFonts w:ascii="Times New Roman" w:hAnsi="Times New Roman"/>
          <w:sz w:val="24"/>
        </w:rPr>
        <w:t>A településen bölcsőde, óvoda és általános iskola is működik. A helyi lakosok általában a helyi oktatási intézménybe járatják gyermekeiket. Néhány családban a vidéken dolgozó szülők a környező városok oktatási intézményeibe járatják gyermekeiket.</w:t>
      </w:r>
      <w:r w:rsidRPr="00363517">
        <w:rPr>
          <w:rFonts w:ascii="Times New Roman" w:hAnsi="Times New Roman"/>
          <w:color w:val="FF0000"/>
          <w:sz w:val="24"/>
        </w:rPr>
        <w:t xml:space="preserve"> </w:t>
      </w:r>
      <w:r w:rsidRPr="00363517">
        <w:rPr>
          <w:rFonts w:ascii="Times New Roman" w:hAnsi="Times New Roman"/>
          <w:color w:val="000000"/>
          <w:sz w:val="24"/>
        </w:rPr>
        <w:t xml:space="preserve">A szülők megpróbálják a tanulás, taníttatás lehetőségét biztosítani a gyermekeik számára. </w:t>
      </w:r>
    </w:p>
    <w:p w:rsidR="00A94468" w:rsidRDefault="00A94468" w:rsidP="00A94468">
      <w:pPr>
        <w:rPr>
          <w:rFonts w:ascii="Times New Roman" w:hAnsi="Times New Roman"/>
          <w:color w:val="000000"/>
          <w:sz w:val="24"/>
        </w:rPr>
      </w:pPr>
    </w:p>
    <w:p w:rsidR="00A94468" w:rsidRPr="00363517" w:rsidRDefault="00A94468" w:rsidP="00A94468">
      <w:pPr>
        <w:rPr>
          <w:rFonts w:ascii="Times New Roman" w:hAnsi="Times New Roman"/>
          <w:color w:val="000000"/>
          <w:sz w:val="24"/>
        </w:rPr>
      </w:pPr>
      <w:r w:rsidRPr="00FA03FA">
        <w:rPr>
          <w:rFonts w:ascii="Times New Roman" w:hAnsi="Times New Roman"/>
          <w:i/>
          <w:color w:val="000000"/>
          <w:sz w:val="24"/>
        </w:rPr>
        <w:t>Nők:</w:t>
      </w:r>
      <w:r>
        <w:rPr>
          <w:rFonts w:ascii="Times New Roman" w:hAnsi="Times New Roman"/>
          <w:color w:val="000000"/>
          <w:sz w:val="24"/>
        </w:rPr>
        <w:t xml:space="preserve"> </w:t>
      </w:r>
      <w:r w:rsidRPr="00363517">
        <w:rPr>
          <w:rFonts w:ascii="Times New Roman" w:hAnsi="Times New Roman"/>
          <w:color w:val="000000"/>
          <w:sz w:val="24"/>
        </w:rPr>
        <w:t xml:space="preserve">Csorváson kevés munkalehetőség van, ezért a nők helyzete munkavállalás tekintetében igen nehéz. Vagy beutaznak a szomszédos városokba, vagy otthon maradnak gyermekeiket nevelni. Sokan a gyermekgondozás mellett tanulmányokat folytatnak, de a nehéz anyagi helyzet, a rájuk háruló jelentős házimunka kilátástalanná teszi helyzetüket, ami depresszióhoz, pszichés problémák kialakulásához vezethet. </w:t>
      </w:r>
    </w:p>
    <w:p w:rsidR="00A94468" w:rsidRDefault="00A94468" w:rsidP="00A94468">
      <w:pPr>
        <w:rPr>
          <w:rFonts w:ascii="Times New Roman" w:hAnsi="Times New Roman"/>
          <w:sz w:val="24"/>
        </w:rPr>
      </w:pPr>
    </w:p>
    <w:p w:rsidR="00A94468" w:rsidRPr="00363517" w:rsidRDefault="00A94468" w:rsidP="00A94468">
      <w:pPr>
        <w:rPr>
          <w:rFonts w:ascii="Times New Roman" w:hAnsi="Times New Roman"/>
          <w:sz w:val="24"/>
        </w:rPr>
      </w:pPr>
      <w:r w:rsidRPr="00FA03FA">
        <w:rPr>
          <w:rFonts w:ascii="Times New Roman" w:hAnsi="Times New Roman"/>
          <w:i/>
          <w:sz w:val="24"/>
        </w:rPr>
        <w:t>Fogyatékkal élők:</w:t>
      </w:r>
      <w:r>
        <w:rPr>
          <w:rFonts w:ascii="Times New Roman" w:hAnsi="Times New Roman"/>
          <w:sz w:val="24"/>
        </w:rPr>
        <w:t xml:space="preserve"> </w:t>
      </w:r>
      <w:r w:rsidRPr="00363517">
        <w:rPr>
          <w:rFonts w:ascii="Times New Roman" w:hAnsi="Times New Roman"/>
          <w:sz w:val="24"/>
        </w:rPr>
        <w:t>A munkát vállalni képes enyhe fokban értelmileg akadályozott felnőttek és a mozgássérültek foglalkoztatást biztosíthatja egy erre a tevékenységre szakosodott</w:t>
      </w:r>
      <w:r>
        <w:rPr>
          <w:rFonts w:ascii="Times New Roman" w:hAnsi="Times New Roman"/>
          <w:sz w:val="24"/>
        </w:rPr>
        <w:t>, Csorváson telephelyet működtető</w:t>
      </w:r>
      <w:r w:rsidRPr="00363517">
        <w:rPr>
          <w:rFonts w:ascii="Times New Roman" w:hAnsi="Times New Roman"/>
          <w:sz w:val="24"/>
        </w:rPr>
        <w:t xml:space="preserve"> vállalkozás.</w:t>
      </w:r>
      <w:r>
        <w:rPr>
          <w:rFonts w:ascii="Times New Roman" w:hAnsi="Times New Roman"/>
          <w:sz w:val="24"/>
        </w:rPr>
        <w:t xml:space="preserve"> A fogyatékkal élő felnőttek számára a településen lakóotthon működik. A közintézmények megfelelnek a fizikai akadálymentesség jogszabályi feltételeinek, de a helyi vállalkozók tulajdonában álló üzletek, boltok jelentős hányada nem, ezért pl. a kerekesszékesek számára a legtöbb élelmiszerboltba való bejutás fizikai akadályba, pl. lépcsőbe ütközik. A társadalmi elfogadottságuk ugyanakkor nem ütközik akadályba, hiszen az akadálymentes középületeinkben megrendezett közösségi eseményeken rendszeresen megjelennek, érdekképviseleteikkel kapcsolatban vagyunk.</w:t>
      </w:r>
    </w:p>
    <w:p w:rsidR="00A94468" w:rsidRPr="00363517" w:rsidRDefault="00A94468" w:rsidP="00A94468">
      <w:pPr>
        <w:rPr>
          <w:rFonts w:ascii="Times New Roman" w:hAnsi="Times New Roman"/>
          <w:sz w:val="24"/>
        </w:rPr>
      </w:pPr>
    </w:p>
    <w:p w:rsidR="00A94468" w:rsidRPr="007F0A54" w:rsidRDefault="00A94468" w:rsidP="00A94468">
      <w:pPr>
        <w:rPr>
          <w:rFonts w:ascii="Times New Roman" w:hAnsi="Times New Roman"/>
          <w:color w:val="000000"/>
          <w:sz w:val="24"/>
        </w:rPr>
      </w:pPr>
      <w:r w:rsidRPr="00FA03FA">
        <w:rPr>
          <w:rFonts w:ascii="Times New Roman" w:hAnsi="Times New Roman"/>
          <w:i/>
          <w:sz w:val="24"/>
        </w:rPr>
        <w:t>Idősek:</w:t>
      </w:r>
      <w:r>
        <w:rPr>
          <w:rFonts w:ascii="Times New Roman" w:hAnsi="Times New Roman"/>
          <w:sz w:val="24"/>
        </w:rPr>
        <w:t xml:space="preserve"> </w:t>
      </w:r>
      <w:r w:rsidRPr="00363517">
        <w:rPr>
          <w:rFonts w:ascii="Times New Roman" w:hAnsi="Times New Roman"/>
          <w:sz w:val="24"/>
        </w:rPr>
        <w:t xml:space="preserve">Az időskorúak ellátására működik az Egyesített Szociális Intézmény, ahol nappali- és bentlakásos gondozásban részesülhetnek az idősek, valamint az otthonukban élő idősek és sérültek számára házi segítségnyújtást biztosítanak, házigondozást végeznek. Ezen túl a nyugdíjas klub biztosít lehetőséget az idősek szabadidejének kortársak közötti hasznos eltöltésére. Csorváson megtalálható a mozgásukban akadályozott, de önálló életvitelre képes emberek számára létesített lakóotthon, </w:t>
      </w:r>
      <w:r w:rsidRPr="00363517">
        <w:rPr>
          <w:rFonts w:ascii="Times New Roman" w:hAnsi="Times New Roman"/>
          <w:color w:val="000000"/>
          <w:sz w:val="24"/>
        </w:rPr>
        <w:t>és itt tevékenyk</w:t>
      </w:r>
      <w:r w:rsidRPr="00363517">
        <w:rPr>
          <w:rFonts w:ascii="Times New Roman" w:hAnsi="Times New Roman"/>
          <w:sz w:val="24"/>
        </w:rPr>
        <w:t xml:space="preserve">edik a Mozgáskorlátozottak Csorvási Egyesülete, valamint idős és sérült emberek számára nyúlt napi életviteli segítséget az alapítványi úton működő </w:t>
      </w:r>
      <w:r w:rsidRPr="007F0A54">
        <w:rPr>
          <w:rFonts w:ascii="Times New Roman" w:hAnsi="Times New Roman"/>
          <w:color w:val="000000"/>
          <w:sz w:val="24"/>
        </w:rPr>
        <w:t xml:space="preserve">Közösségi Misszió Humán Szolgáltató Központja. </w:t>
      </w:r>
    </w:p>
    <w:p w:rsidR="00A94468" w:rsidRPr="00363517" w:rsidRDefault="00A94468" w:rsidP="00A94468">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br w:type="page"/>
      </w:r>
    </w:p>
    <w:p w:rsidR="00A94468" w:rsidRPr="00363517" w:rsidRDefault="00A94468" w:rsidP="00A94468">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A94468" w:rsidRPr="00363517" w:rsidRDefault="00A94468" w:rsidP="00A94468">
      <w:pPr>
        <w:pStyle w:val="Cmsor2"/>
        <w:keepNext w:val="0"/>
        <w:rPr>
          <w:rFonts w:ascii="Times New Roman" w:hAnsi="Times New Roman"/>
        </w:rPr>
      </w:pPr>
      <w:bookmarkStart w:id="12" w:name="__RefHeading__41_1906745769"/>
      <w:bookmarkStart w:id="13" w:name="_Toc49500643"/>
      <w:bookmarkStart w:id="14" w:name="_Toc119566832"/>
      <w:bookmarkEnd w:id="12"/>
      <w:r w:rsidRPr="00363517">
        <w:rPr>
          <w:rFonts w:ascii="Times New Roman" w:hAnsi="Times New Roman"/>
        </w:rPr>
        <w:t>Értékeink, küldetésünk</w:t>
      </w:r>
      <w:bookmarkEnd w:id="13"/>
      <w:bookmarkEnd w:id="14"/>
    </w:p>
    <w:p w:rsidR="00A94468" w:rsidRPr="00363517" w:rsidRDefault="00A94468" w:rsidP="00A94468">
      <w:pPr>
        <w:pStyle w:val="Nincstrkz"/>
        <w:jc w:val="both"/>
        <w:rPr>
          <w:rFonts w:ascii="Times New Roman" w:hAnsi="Times New Roman"/>
          <w:sz w:val="24"/>
          <w:szCs w:val="24"/>
        </w:rPr>
      </w:pPr>
    </w:p>
    <w:p w:rsidR="00A94468" w:rsidRPr="00363517" w:rsidRDefault="00A94468" w:rsidP="00A94468">
      <w:pPr>
        <w:rPr>
          <w:rFonts w:ascii="Times New Roman" w:hAnsi="Times New Roman"/>
          <w:sz w:val="24"/>
        </w:rPr>
      </w:pPr>
      <w:r w:rsidRPr="00363517">
        <w:rPr>
          <w:rFonts w:ascii="Times New Roman" w:hAnsi="Times New Roman"/>
          <w:sz w:val="24"/>
        </w:rPr>
        <w:t>A HEP a 321/2011. (XII.27.) Korm. rend. 1. § (2) bekezdésének előírása értelmében kiemelt figyelmet fordít célcsoportjai, a hátrányos helyzetű társadalmi csoportok, különösen a mélyszegénységben élők, romák, gyermekek, nők, idősek, fogyatékkal élők helyzetére. Csorvás Város Önkormányzata mindent megtesz annak érdekében, hogy az érintett célcsoportok tagjai a lakóhelyükön, Csorváson jussanak lehetőséghez az oktatás, a kultúra, a sport, a szociális és egészségügyi szolgáltatás, a foglalkoztatás, a lakhatás, valamint a közlekedés és a kommunikáció területén.</w:t>
      </w:r>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rPr>
      </w:pPr>
      <w:r w:rsidRPr="00363517">
        <w:rPr>
          <w:rFonts w:ascii="Times New Roman" w:hAnsi="Times New Roman"/>
          <w:sz w:val="24"/>
        </w:rPr>
        <w:t>Önkormányzatunk és a város küldetésének tekinti lakosságának megtartását, gyarapodásának támogatását. Ehhez mindenképpen elsődlegesen munkahelyekre, azok számának növelésére, s a meglévők tovább működésének és fejlesztésének ösztönzésére igyekszik lépéseket tenni (vállalkozások motiválása, önfenntartó vállalkozások és önellátó családok létrejöttének elősegítése).</w:t>
      </w:r>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rPr>
      </w:pPr>
      <w:r w:rsidRPr="00363517">
        <w:rPr>
          <w:rFonts w:ascii="Times New Roman" w:hAnsi="Times New Roman"/>
          <w:sz w:val="24"/>
        </w:rPr>
        <w:t>Küldetésünk az is, hogy humán, kulturális és gazdasági értékeinket megtartsuk városunkban, ezzel folyamatossá és fenntarthatóvá téve jövőnket és fejlődésünket – mind egyéni, mind pedig települési szinten.</w:t>
      </w:r>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rPr>
      </w:pPr>
      <w:r w:rsidRPr="00363517">
        <w:rPr>
          <w:rFonts w:ascii="Times New Roman" w:hAnsi="Times New Roman"/>
          <w:sz w:val="24"/>
        </w:rPr>
        <w:t>A jövőbeli elképzelések és a fejlődés, fejlesztés megvalósításához, a régiónkat – és vele településünket – sújtó mindennemű lemaradás mérsékléséhez és majdani megszűntetéséhez elengedhetetlen, hogy a veszélyeztetett csoportokra kellőképpen odafigyeljünk.</w:t>
      </w:r>
    </w:p>
    <w:p w:rsidR="00A94468" w:rsidRDefault="00A94468" w:rsidP="00A94468">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A94468" w:rsidRPr="00363517" w:rsidRDefault="00A94468" w:rsidP="00A94468">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A94468" w:rsidRPr="00363517" w:rsidRDefault="00A94468" w:rsidP="00A94468">
      <w:pPr>
        <w:pStyle w:val="Cmsor2"/>
        <w:rPr>
          <w:rFonts w:ascii="Times New Roman" w:hAnsi="Times New Roman"/>
        </w:rPr>
      </w:pPr>
      <w:bookmarkStart w:id="15" w:name="__RefHeading__43_1906745769"/>
      <w:bookmarkStart w:id="16" w:name="_Toc49500644"/>
      <w:bookmarkStart w:id="17" w:name="_Toc119566833"/>
      <w:bookmarkEnd w:id="15"/>
      <w:r w:rsidRPr="00363517">
        <w:rPr>
          <w:rFonts w:ascii="Times New Roman" w:hAnsi="Times New Roman"/>
        </w:rPr>
        <w:t>Célok</w:t>
      </w:r>
      <w:bookmarkEnd w:id="16"/>
      <w:bookmarkEnd w:id="17"/>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rPr>
      </w:pPr>
      <w:r w:rsidRPr="00363517">
        <w:rPr>
          <w:rFonts w:ascii="Times New Roman" w:hAnsi="Times New Roman"/>
          <w:sz w:val="24"/>
          <w:u w:val="single"/>
        </w:rPr>
        <w:t>A Helyi Esélyegyenlőségi Program átfogó célja</w:t>
      </w:r>
      <w:r w:rsidRPr="00363517">
        <w:rPr>
          <w:rFonts w:ascii="Times New Roman" w:hAnsi="Times New Roman"/>
          <w:sz w:val="24"/>
        </w:rPr>
        <w:t>, mely</w:t>
      </w:r>
      <w:r w:rsidRPr="00140D12">
        <w:rPr>
          <w:rFonts w:ascii="Times New Roman" w:hAnsi="Times New Roman"/>
          <w:sz w:val="24"/>
        </w:rPr>
        <w:t xml:space="preserve"> </w:t>
      </w:r>
      <w:r w:rsidRPr="00363517">
        <w:rPr>
          <w:rFonts w:ascii="Times New Roman" w:hAnsi="Times New Roman"/>
          <w:sz w:val="24"/>
        </w:rPr>
        <w:t>összhangban</w:t>
      </w:r>
      <w:r w:rsidRPr="00363517">
        <w:rPr>
          <w:rFonts w:ascii="Times New Roman" w:hAnsi="Times New Roman"/>
          <w:sz w:val="24"/>
          <w:u w:val="single"/>
        </w:rPr>
        <w:t xml:space="preserve"> </w:t>
      </w:r>
      <w:r w:rsidRPr="00363517">
        <w:rPr>
          <w:rFonts w:ascii="Times New Roman" w:hAnsi="Times New Roman"/>
          <w:sz w:val="24"/>
        </w:rPr>
        <w:t>van az</w:t>
      </w:r>
      <w:r w:rsidRPr="00363517">
        <w:rPr>
          <w:rFonts w:ascii="Times New Roman" w:hAnsi="Times New Roman"/>
          <w:sz w:val="24"/>
          <w:u w:val="single"/>
        </w:rPr>
        <w:t xml:space="preserve"> </w:t>
      </w:r>
      <w:r w:rsidRPr="00363517">
        <w:rPr>
          <w:rFonts w:ascii="Times New Roman" w:hAnsi="Times New Roman"/>
          <w:sz w:val="24"/>
        </w:rPr>
        <w:t xml:space="preserve">egyenlő bánásmódról és az esélyegyenlőség előmozdításáról szóló 2003. évi CXXV. törvény, a </w:t>
      </w:r>
      <w:r w:rsidRPr="00363517">
        <w:rPr>
          <w:rFonts w:ascii="Times New Roman" w:hAnsi="Times New Roman"/>
          <w:bCs/>
          <w:sz w:val="24"/>
        </w:rPr>
        <w:t xml:space="preserve">helyi esélyegyenlőségi programok elkészítésének szabályairól és az esélyegyenlőségi mentorokról szóló 321/2011. (XII. 27.) Korm. rendelet </w:t>
      </w:r>
      <w:r w:rsidRPr="00363517">
        <w:rPr>
          <w:rFonts w:ascii="Times New Roman" w:hAnsi="Times New Roman"/>
          <w:sz w:val="24"/>
        </w:rPr>
        <w:t>rendelkezéseivel:</w:t>
      </w:r>
    </w:p>
    <w:p w:rsidR="00A94468" w:rsidRPr="00363517" w:rsidRDefault="00A94468" w:rsidP="00A94468">
      <w:pPr>
        <w:rPr>
          <w:rFonts w:ascii="Times New Roman" w:hAnsi="Times New Roman"/>
          <w:sz w:val="24"/>
          <w:u w:val="single"/>
        </w:rPr>
      </w:pPr>
    </w:p>
    <w:p w:rsidR="00A94468" w:rsidRPr="00363517" w:rsidRDefault="00A94468" w:rsidP="00A94468">
      <w:pPr>
        <w:rPr>
          <w:rFonts w:ascii="Times New Roman" w:hAnsi="Times New Roman"/>
          <w:sz w:val="24"/>
        </w:rPr>
      </w:pPr>
      <w:r w:rsidRPr="00363517">
        <w:rPr>
          <w:rFonts w:ascii="Times New Roman" w:hAnsi="Times New Roman"/>
          <w:sz w:val="24"/>
        </w:rPr>
        <w:t>Csorvás város Önkormányzata az Esélyegyenlőségi Program elfogadásával érvényesíteni kívánja:</w:t>
      </w:r>
    </w:p>
    <w:p w:rsidR="00A94468" w:rsidRPr="00363517" w:rsidRDefault="00A94468" w:rsidP="00A94468">
      <w:pPr>
        <w:rPr>
          <w:rFonts w:ascii="Times New Roman" w:hAnsi="Times New Roman"/>
          <w:sz w:val="24"/>
        </w:rPr>
      </w:pPr>
      <w:r w:rsidRPr="00363517">
        <w:rPr>
          <w:rFonts w:ascii="Times New Roman" w:hAnsi="Times New Roman"/>
          <w:sz w:val="24"/>
        </w:rPr>
        <w:t>- az egyenlő bánásmód, és az esélyegyenlőség biztosításának követelményét,</w:t>
      </w:r>
    </w:p>
    <w:p w:rsidR="00A94468" w:rsidRPr="00363517" w:rsidRDefault="00A94468" w:rsidP="00A94468">
      <w:pPr>
        <w:rPr>
          <w:rFonts w:ascii="Times New Roman" w:hAnsi="Times New Roman"/>
          <w:sz w:val="24"/>
        </w:rPr>
      </w:pPr>
      <w:r w:rsidRPr="00363517">
        <w:rPr>
          <w:rFonts w:ascii="Times New Roman" w:hAnsi="Times New Roman"/>
          <w:sz w:val="24"/>
        </w:rPr>
        <w:t xml:space="preserve">- a közszolgáltatásokhoz történő egyenlő hozzáférés elvét, </w:t>
      </w:r>
    </w:p>
    <w:p w:rsidR="00A94468" w:rsidRPr="00363517" w:rsidRDefault="00A94468" w:rsidP="00A94468">
      <w:pPr>
        <w:rPr>
          <w:rFonts w:ascii="Times New Roman" w:hAnsi="Times New Roman"/>
          <w:sz w:val="24"/>
        </w:rPr>
      </w:pPr>
      <w:r w:rsidRPr="00363517">
        <w:rPr>
          <w:rFonts w:ascii="Times New Roman" w:hAnsi="Times New Roman"/>
          <w:sz w:val="24"/>
        </w:rPr>
        <w:t xml:space="preserve">- a diszkriminációmentességet, </w:t>
      </w:r>
    </w:p>
    <w:p w:rsidR="00A94468" w:rsidRPr="00363517" w:rsidRDefault="00A94468" w:rsidP="00A94468">
      <w:pPr>
        <w:rPr>
          <w:rFonts w:ascii="Times New Roman" w:hAnsi="Times New Roman"/>
          <w:sz w:val="24"/>
        </w:rPr>
      </w:pPr>
      <w:r w:rsidRPr="00363517">
        <w:rPr>
          <w:rFonts w:ascii="Times New Roman" w:hAnsi="Times New Roman"/>
          <w:sz w:val="24"/>
        </w:rPr>
        <w:t>- szegregációmentességet,</w:t>
      </w:r>
    </w:p>
    <w:p w:rsidR="00A94468" w:rsidRPr="00363517" w:rsidRDefault="00A94468" w:rsidP="00A94468">
      <w:pPr>
        <w:rPr>
          <w:rFonts w:ascii="Times New Roman" w:hAnsi="Times New Roman"/>
          <w:sz w:val="24"/>
        </w:rPr>
      </w:pPr>
      <w:r w:rsidRPr="00363517">
        <w:rPr>
          <w:rFonts w:ascii="Times New Roman" w:hAnsi="Times New Roman"/>
          <w:iCs/>
          <w:sz w:val="24"/>
        </w:rPr>
        <w:t xml:space="preserve">- a foglalkoztatás, a szociális biztonság, az egészségügy, az oktatás és a lakhatás területén </w:t>
      </w:r>
      <w:r w:rsidRPr="00363517">
        <w:rPr>
          <w:rFonts w:ascii="Times New Roman" w:hAnsi="Times New Roman"/>
          <w:sz w:val="24"/>
        </w:rPr>
        <w:t xml:space="preserve">a helyzetelemzés során feltárt problémák komplex kezelése érdekében szükséges intézkedéseket. A köznevelési intézményeket – az óvoda kivételével – érintő intézkedések érdekében együttműködik az intézményfenntartó központ területi szerveivel (tankerülettel). </w:t>
      </w:r>
    </w:p>
    <w:p w:rsidR="00A94468" w:rsidRPr="00363517" w:rsidRDefault="00A94468" w:rsidP="00A94468">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A94468" w:rsidRPr="00690C01" w:rsidRDefault="00A94468" w:rsidP="00A94468">
      <w:pPr>
        <w:rPr>
          <w:rFonts w:ascii="Times New Roman" w:hAnsi="Times New Roman"/>
          <w:color w:val="000000"/>
          <w:sz w:val="24"/>
        </w:rPr>
      </w:pPr>
      <w:r w:rsidRPr="00690C01">
        <w:rPr>
          <w:rFonts w:ascii="Times New Roman" w:hAnsi="Times New Roman"/>
          <w:color w:val="000000"/>
          <w:sz w:val="24"/>
        </w:rPr>
        <w:t>E dokumentum célja a településen élő hátrányos helyzetű csoportok helyzetének feltérképezése és a feltárt problémák komplex kezelésre szolgáló (más települési programokkal összehangolt) intézkedési terv megalkotása, a helyben érintett szereplők bevonásával, szükség szerint a települések közötti együttműködések kialakításával.</w:t>
      </w:r>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u w:val="single"/>
        </w:rPr>
      </w:pPr>
      <w:r w:rsidRPr="00363517">
        <w:rPr>
          <w:rFonts w:ascii="Times New Roman" w:hAnsi="Times New Roman"/>
          <w:sz w:val="24"/>
          <w:u w:val="single"/>
        </w:rPr>
        <w:t>A HEP helyzetelemző részének célja</w:t>
      </w:r>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rPr>
      </w:pPr>
      <w:r w:rsidRPr="00363517">
        <w:rPr>
          <w:rFonts w:ascii="Times New Roman" w:hAnsi="Times New Roman"/>
          <w:sz w:val="24"/>
        </w:rPr>
        <w:t>Elsődleges célunk számba venni</w:t>
      </w:r>
      <w:r w:rsidRPr="00363517">
        <w:rPr>
          <w:rFonts w:ascii="Times New Roman" w:hAnsi="Times New Roman"/>
          <w:b/>
          <w:sz w:val="24"/>
        </w:rPr>
        <w:t xml:space="preserve"> </w:t>
      </w:r>
      <w:r w:rsidRPr="00363517">
        <w:rPr>
          <w:rFonts w:ascii="Times New Roman" w:hAnsi="Times New Roman"/>
          <w:sz w:val="24"/>
        </w:rPr>
        <w:t>a 321/2011. (XII. 27.) Korm. rendelet 1. § (2) bekezdésében nevesített, esélyegyenlőségi szempontból fókuszban lévő célcsoportokba tartozók számát és arányát, valamint helyzetét a településen.</w:t>
      </w:r>
    </w:p>
    <w:p w:rsidR="00A94468" w:rsidRPr="00363517" w:rsidRDefault="00A94468" w:rsidP="00A94468">
      <w:pPr>
        <w:rPr>
          <w:rFonts w:ascii="Times New Roman" w:hAnsi="Times New Roman"/>
          <w:sz w:val="24"/>
        </w:rPr>
      </w:pPr>
      <w:r w:rsidRPr="00363517">
        <w:rPr>
          <w:rFonts w:ascii="Times New Roman" w:hAnsi="Times New Roman"/>
          <w:sz w:val="24"/>
        </w:rPr>
        <w:t>E mellett célunk a célcsoportba tartozókra vonatkozóan áttekinteni a szolgáltatásokhoz történő hozzáférésük alakulását, valamint feltárni az ezeken a területeken jelentkező problémákat.</w:t>
      </w:r>
    </w:p>
    <w:p w:rsidR="00A94468" w:rsidRPr="00363517" w:rsidRDefault="00A94468" w:rsidP="00A94468">
      <w:pPr>
        <w:rPr>
          <w:rFonts w:ascii="Times New Roman" w:hAnsi="Times New Roman"/>
          <w:sz w:val="24"/>
        </w:rPr>
      </w:pPr>
      <w:r w:rsidRPr="00363517">
        <w:rPr>
          <w:rFonts w:ascii="Times New Roman" w:hAnsi="Times New Roman"/>
          <w:sz w:val="24"/>
        </w:rPr>
        <w:t>További célunk meghatározni az e csoportok esélyegyenlőségét elősegítő feladatokat, és azokat a területeket, melyek fejlesztésre szorulnak az egyenlő bánásmód érdekében.</w:t>
      </w:r>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rPr>
      </w:pPr>
      <w:r w:rsidRPr="00363517">
        <w:rPr>
          <w:rFonts w:ascii="Times New Roman" w:hAnsi="Times New Roman"/>
          <w:sz w:val="24"/>
        </w:rPr>
        <w:t>A célok megvalósításának lépéseit, azok forrásigényét és végrehajtásuk tervezett ütemezését az HEP IT tartalmazza.</w:t>
      </w:r>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u w:val="single"/>
        </w:rPr>
      </w:pPr>
      <w:r w:rsidRPr="00363517">
        <w:rPr>
          <w:rFonts w:ascii="Times New Roman" w:hAnsi="Times New Roman"/>
          <w:sz w:val="24"/>
          <w:u w:val="single"/>
        </w:rPr>
        <w:t>A HEP Intézkedési Tervének célja</w:t>
      </w:r>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rPr>
      </w:pPr>
      <w:r w:rsidRPr="00363517">
        <w:rPr>
          <w:rFonts w:ascii="Times New Roman" w:hAnsi="Times New Roman"/>
          <w:sz w:val="24"/>
        </w:rPr>
        <w:t>Célunk a helyzetelemzésre építve olyan beavatkozások részletes tervezése, amelyek konkrét elmozdulásokat eredményeznek az esélyegyenlőségi célcsoportokhoz tartozók helyzetének javítása szempontjából.</w:t>
      </w:r>
    </w:p>
    <w:p w:rsidR="00A94468" w:rsidRPr="00363517" w:rsidRDefault="00A94468" w:rsidP="00A94468">
      <w:pPr>
        <w:rPr>
          <w:rFonts w:ascii="Times New Roman" w:hAnsi="Times New Roman"/>
          <w:color w:val="0070C0"/>
          <w:sz w:val="24"/>
        </w:rPr>
      </w:pPr>
    </w:p>
    <w:p w:rsidR="00A94468" w:rsidRPr="00690C01" w:rsidRDefault="00A94468" w:rsidP="00A94468">
      <w:pPr>
        <w:rPr>
          <w:rFonts w:ascii="Times New Roman" w:hAnsi="Times New Roman"/>
          <w:color w:val="000000"/>
          <w:sz w:val="24"/>
          <w:u w:val="single"/>
        </w:rPr>
      </w:pPr>
      <w:r w:rsidRPr="00690C01">
        <w:rPr>
          <w:rFonts w:ascii="Times New Roman" w:hAnsi="Times New Roman"/>
          <w:color w:val="000000"/>
          <w:sz w:val="24"/>
          <w:u w:val="single"/>
        </w:rPr>
        <w:t>A HEP jelentősége</w:t>
      </w:r>
    </w:p>
    <w:p w:rsidR="00A94468" w:rsidRPr="00690C01" w:rsidRDefault="00A94468" w:rsidP="00A94468">
      <w:pPr>
        <w:rPr>
          <w:rFonts w:ascii="Times New Roman" w:hAnsi="Times New Roman"/>
          <w:color w:val="000000"/>
          <w:sz w:val="24"/>
        </w:rPr>
      </w:pPr>
    </w:p>
    <w:p w:rsidR="00A94468" w:rsidRPr="00690C01" w:rsidRDefault="00A94468" w:rsidP="00A94468">
      <w:pPr>
        <w:rPr>
          <w:rFonts w:ascii="Times New Roman" w:hAnsi="Times New Roman"/>
          <w:color w:val="000000"/>
          <w:sz w:val="24"/>
        </w:rPr>
      </w:pPr>
      <w:r w:rsidRPr="00690C01">
        <w:rPr>
          <w:rFonts w:ascii="Times New Roman" w:hAnsi="Times New Roman"/>
          <w:color w:val="000000"/>
          <w:sz w:val="24"/>
        </w:rPr>
        <w:t>A HEP-ek nem csupán a felzárkózási stratégia településszintű megvalósításának alapegységei, hanem fontos szerepet töltenek be a kormányzati konzultációs rendszerben azzal, hogy megteremtik a lehetőséget a kormányzati célok társadalmasítására, a fejlesztési elképzelésekhez történő csatlakozásra, és fordított irányban az alulról felfelé történő információáramlásban is lehetőséget biztosítanak a településszintű előrehaladás nyomon követésére és a fejlesztési igények megfogalmazására a felzárkózási, esélyteremtési feladatokhoz kapcsolódóan.</w:t>
      </w:r>
    </w:p>
    <w:p w:rsidR="00A94468" w:rsidRPr="00363517" w:rsidRDefault="00A94468" w:rsidP="00A94468">
      <w:pPr>
        <w:rPr>
          <w:rFonts w:ascii="Times New Roman" w:hAnsi="Times New Roman"/>
          <w:sz w:val="24"/>
        </w:rPr>
      </w:pPr>
    </w:p>
    <w:p w:rsidR="00A94468" w:rsidRPr="00363517" w:rsidRDefault="00A94468" w:rsidP="00A94468">
      <w:pPr>
        <w:pStyle w:val="Cmsor2"/>
        <w:pageBreakBefore/>
        <w:rPr>
          <w:rFonts w:ascii="Times New Roman" w:hAnsi="Times New Roman"/>
        </w:rPr>
      </w:pPr>
      <w:bookmarkStart w:id="18" w:name="__RefHeading__45_1906745769"/>
      <w:bookmarkStart w:id="19" w:name="_Toc49500645"/>
      <w:bookmarkStart w:id="20" w:name="_Toc119566834"/>
      <w:bookmarkEnd w:id="18"/>
      <w:r w:rsidRPr="00363517">
        <w:rPr>
          <w:rFonts w:ascii="Times New Roman" w:hAnsi="Times New Roman"/>
        </w:rPr>
        <w:t>A Helyi Esélyegyenlőségi Program Helyzetelemzése (HEP HE)</w:t>
      </w:r>
      <w:bookmarkEnd w:id="19"/>
      <w:bookmarkEnd w:id="20"/>
    </w:p>
    <w:p w:rsidR="00A94468" w:rsidRPr="00363517" w:rsidRDefault="00A94468" w:rsidP="00A94468">
      <w:pPr>
        <w:autoSpaceDE w:val="0"/>
        <w:spacing w:after="20"/>
        <w:rPr>
          <w:rFonts w:ascii="Times New Roman" w:hAnsi="Times New Roman"/>
          <w:sz w:val="24"/>
        </w:rPr>
      </w:pPr>
    </w:p>
    <w:p w:rsidR="00A94468" w:rsidRPr="00363517" w:rsidRDefault="00A94468" w:rsidP="00A94468">
      <w:pPr>
        <w:pStyle w:val="Cmsor3"/>
        <w:rPr>
          <w:rFonts w:ascii="Times New Roman" w:hAnsi="Times New Roman"/>
          <w:szCs w:val="24"/>
        </w:rPr>
      </w:pPr>
      <w:bookmarkStart w:id="21" w:name="__RefHeading__47_1906745769"/>
      <w:bookmarkStart w:id="22" w:name="_Toc49500646"/>
      <w:bookmarkStart w:id="23" w:name="_Toc119566835"/>
      <w:bookmarkEnd w:id="21"/>
      <w:r w:rsidRPr="00363517">
        <w:rPr>
          <w:rFonts w:ascii="Times New Roman" w:hAnsi="Times New Roman"/>
          <w:szCs w:val="24"/>
        </w:rPr>
        <w:t>1. Jogszabályi háttér bemutatása</w:t>
      </w:r>
      <w:bookmarkEnd w:id="22"/>
      <w:bookmarkEnd w:id="23"/>
    </w:p>
    <w:p w:rsidR="00A94468" w:rsidRPr="00363517" w:rsidRDefault="00A94468" w:rsidP="00A94468">
      <w:pPr>
        <w:rPr>
          <w:rFonts w:ascii="Times New Roman" w:hAnsi="Times New Roman"/>
          <w:sz w:val="24"/>
        </w:rPr>
      </w:pPr>
    </w:p>
    <w:p w:rsidR="00A94468" w:rsidRPr="00363517" w:rsidRDefault="00A94468" w:rsidP="00A94468">
      <w:pPr>
        <w:numPr>
          <w:ilvl w:val="1"/>
          <w:numId w:val="1"/>
        </w:numPr>
        <w:autoSpaceDE w:val="0"/>
        <w:spacing w:after="20"/>
        <w:rPr>
          <w:rFonts w:ascii="Times New Roman" w:hAnsi="Times New Roman"/>
          <w:b/>
          <w:sz w:val="24"/>
        </w:rPr>
      </w:pPr>
      <w:r w:rsidRPr="00363517">
        <w:rPr>
          <w:rFonts w:ascii="Times New Roman" w:hAnsi="Times New Roman"/>
          <w:b/>
          <w:sz w:val="24"/>
        </w:rPr>
        <w:t>A program készítését előíró jogszabályi környezet rövid bemutatása</w:t>
      </w:r>
    </w:p>
    <w:p w:rsidR="00A94468" w:rsidRPr="00363517" w:rsidRDefault="00A94468" w:rsidP="00A94468">
      <w:pPr>
        <w:rPr>
          <w:rFonts w:ascii="Times New Roman" w:hAnsi="Times New Roman"/>
          <w:sz w:val="24"/>
        </w:rPr>
      </w:pPr>
    </w:p>
    <w:p w:rsidR="00A94468" w:rsidRPr="00690C01" w:rsidRDefault="00A94468" w:rsidP="00A94468">
      <w:pPr>
        <w:rPr>
          <w:rFonts w:ascii="Times New Roman" w:hAnsi="Times New Roman"/>
          <w:color w:val="000000"/>
          <w:sz w:val="24"/>
        </w:rPr>
      </w:pPr>
      <w:r w:rsidRPr="00690C01">
        <w:rPr>
          <w:rFonts w:ascii="Times New Roman" w:hAnsi="Times New Roman"/>
          <w:color w:val="000000"/>
          <w:sz w:val="24"/>
        </w:rPr>
        <w:t>Az Alaptörvény 4. módosításával bekerült a XV. cikk (4) pontjaként, hogy „Magyarország az esélyegyenlőség és a társadalmi felzárkózás megvalósulását külön intézkedésekkel segíti.”</w:t>
      </w:r>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rPr>
      </w:pPr>
      <w:r w:rsidRPr="00363517">
        <w:rPr>
          <w:rFonts w:ascii="Times New Roman" w:hAnsi="Times New Roman"/>
          <w:sz w:val="24"/>
        </w:rPr>
        <w:t xml:space="preserve">A helyi esélyegyenlőségi program elkészítését az egyenlő bánásmódról és az esélyegyenlőség előmozdításáról szóló 2003. évi CXXV. törvény (továbbiakban: Ebktv.) előírásai alapján végeztük. A program elkészítésére vonatkozó részletszabályokat a törvény végrehajtási rendeletei, </w:t>
      </w:r>
    </w:p>
    <w:p w:rsidR="00A94468" w:rsidRPr="00690C01" w:rsidRDefault="00A94468" w:rsidP="00A94468">
      <w:pPr>
        <w:numPr>
          <w:ilvl w:val="0"/>
          <w:numId w:val="2"/>
        </w:numPr>
        <w:rPr>
          <w:rFonts w:ascii="Times New Roman" w:hAnsi="Times New Roman"/>
          <w:color w:val="000000"/>
          <w:sz w:val="24"/>
        </w:rPr>
      </w:pPr>
      <w:r w:rsidRPr="00363517">
        <w:rPr>
          <w:rFonts w:ascii="Times New Roman" w:hAnsi="Times New Roman"/>
          <w:sz w:val="24"/>
        </w:rPr>
        <w:t xml:space="preserve">a helyi esélyegyenlőségi programok elkészítésének szabályairól és az esélyegyenlőségi mentorokról” szóló 321/2011. (XII.27.) Korm. rendelet „2. A helyi esélyegyenlőségi program elkészítésének szempontjai” fejezete </w:t>
      </w:r>
      <w:r w:rsidRPr="00690C01">
        <w:rPr>
          <w:rFonts w:ascii="Times New Roman" w:hAnsi="Times New Roman"/>
          <w:color w:val="000000"/>
          <w:sz w:val="24"/>
        </w:rPr>
        <w:t>és 2021.06.30-i módosítása</w:t>
      </w:r>
    </w:p>
    <w:p w:rsidR="00A94468" w:rsidRPr="00690C01" w:rsidRDefault="00A94468" w:rsidP="00A94468">
      <w:pPr>
        <w:numPr>
          <w:ilvl w:val="0"/>
          <w:numId w:val="2"/>
        </w:numPr>
        <w:rPr>
          <w:rFonts w:ascii="Times New Roman" w:hAnsi="Times New Roman"/>
          <w:color w:val="000000"/>
          <w:sz w:val="24"/>
        </w:rPr>
      </w:pPr>
      <w:r w:rsidRPr="00690C01">
        <w:rPr>
          <w:rFonts w:ascii="Times New Roman" w:hAnsi="Times New Roman"/>
          <w:color w:val="000000"/>
          <w:sz w:val="24"/>
        </w:rPr>
        <w:t>a Belügyminisztérium honlapján megjelent „MÓDSZERTANI ÚTMUTATÓ a helyi esélyegyenlőségi programok elkészítésének szempontjaihoz és a program felülvizsgálatához” alapján alkalmaztuk,</w:t>
      </w:r>
    </w:p>
    <w:p w:rsidR="00A94468" w:rsidRPr="00363517" w:rsidRDefault="00A94468" w:rsidP="00A94468">
      <w:pPr>
        <w:autoSpaceDE w:val="0"/>
        <w:spacing w:after="20"/>
        <w:rPr>
          <w:rFonts w:ascii="Times New Roman" w:hAnsi="Times New Roman"/>
          <w:sz w:val="24"/>
        </w:rPr>
      </w:pPr>
      <w:r w:rsidRPr="00363517">
        <w:rPr>
          <w:rFonts w:ascii="Times New Roman" w:hAnsi="Times New Roman"/>
          <w:sz w:val="24"/>
        </w:rPr>
        <w:t xml:space="preserve">különös figyelmet fordítva </w:t>
      </w:r>
    </w:p>
    <w:p w:rsidR="00A94468" w:rsidRPr="00363517" w:rsidRDefault="00A94468" w:rsidP="00A94468">
      <w:pPr>
        <w:numPr>
          <w:ilvl w:val="0"/>
          <w:numId w:val="3"/>
        </w:numPr>
        <w:rPr>
          <w:rFonts w:ascii="Times New Roman" w:hAnsi="Times New Roman"/>
          <w:sz w:val="24"/>
        </w:rPr>
      </w:pPr>
      <w:r w:rsidRPr="00363517">
        <w:rPr>
          <w:rFonts w:ascii="Times New Roman" w:hAnsi="Times New Roman"/>
          <w:sz w:val="24"/>
        </w:rPr>
        <w:t>a Magyarország helyi önkormányzatairól szóló 2011. évi CLXXXIX. törvény (továbbiakban: Mötv.)</w:t>
      </w:r>
    </w:p>
    <w:p w:rsidR="00A94468" w:rsidRPr="00363517" w:rsidRDefault="00A94468" w:rsidP="00A94468">
      <w:pPr>
        <w:numPr>
          <w:ilvl w:val="0"/>
          <w:numId w:val="3"/>
        </w:numPr>
        <w:rPr>
          <w:rFonts w:ascii="Times New Roman" w:hAnsi="Times New Roman"/>
          <w:sz w:val="24"/>
        </w:rPr>
      </w:pPr>
      <w:r w:rsidRPr="00363517">
        <w:rPr>
          <w:rFonts w:ascii="Times New Roman" w:hAnsi="Times New Roman"/>
          <w:sz w:val="24"/>
        </w:rPr>
        <w:t>a szociális igazgatásról és szociális ellátásokról szóló 1993. évi III. törvény (továbbiakban: Szt.)</w:t>
      </w:r>
    </w:p>
    <w:p w:rsidR="00A94468" w:rsidRPr="00363517" w:rsidRDefault="00A94468" w:rsidP="00A94468">
      <w:pPr>
        <w:numPr>
          <w:ilvl w:val="0"/>
          <w:numId w:val="3"/>
        </w:numPr>
        <w:rPr>
          <w:rFonts w:ascii="Times New Roman" w:hAnsi="Times New Roman"/>
          <w:sz w:val="24"/>
        </w:rPr>
      </w:pPr>
      <w:r w:rsidRPr="00363517">
        <w:rPr>
          <w:rFonts w:ascii="Times New Roman" w:hAnsi="Times New Roman"/>
          <w:sz w:val="24"/>
        </w:rPr>
        <w:t>a foglalkoztatás elősegítéséről és a munkanélküliek ellátásáról szóló 1991. évi IV. törvény (továbbiakban: Flt.)</w:t>
      </w:r>
    </w:p>
    <w:p w:rsidR="00A94468" w:rsidRPr="00363517" w:rsidRDefault="00A94468" w:rsidP="00A94468">
      <w:pPr>
        <w:numPr>
          <w:ilvl w:val="0"/>
          <w:numId w:val="3"/>
        </w:numPr>
        <w:rPr>
          <w:rFonts w:ascii="Times New Roman" w:hAnsi="Times New Roman"/>
          <w:sz w:val="24"/>
        </w:rPr>
      </w:pPr>
      <w:r w:rsidRPr="00363517">
        <w:rPr>
          <w:rFonts w:ascii="Times New Roman" w:hAnsi="Times New Roman"/>
          <w:sz w:val="24"/>
        </w:rPr>
        <w:t>a nemzetiségek jogairól szóló 2011. évi CLXXIX. törvény (továbbiakban: nemzetiségi törvény)</w:t>
      </w:r>
    </w:p>
    <w:p w:rsidR="00A94468" w:rsidRPr="00363517" w:rsidRDefault="00A94468" w:rsidP="00A94468">
      <w:pPr>
        <w:numPr>
          <w:ilvl w:val="0"/>
          <w:numId w:val="3"/>
        </w:numPr>
        <w:rPr>
          <w:rFonts w:ascii="Times New Roman" w:hAnsi="Times New Roman"/>
          <w:sz w:val="24"/>
        </w:rPr>
      </w:pPr>
      <w:r w:rsidRPr="00363517">
        <w:rPr>
          <w:rFonts w:ascii="Times New Roman" w:hAnsi="Times New Roman"/>
          <w:sz w:val="24"/>
        </w:rPr>
        <w:t>az egészségügyről szóló 1997. évi CLIV. törvény (továbbiakban: Eütv.)</w:t>
      </w:r>
    </w:p>
    <w:p w:rsidR="00A94468" w:rsidRPr="00363517" w:rsidRDefault="00A94468" w:rsidP="00A94468">
      <w:pPr>
        <w:numPr>
          <w:ilvl w:val="0"/>
          <w:numId w:val="3"/>
        </w:numPr>
        <w:rPr>
          <w:rFonts w:ascii="Times New Roman" w:hAnsi="Times New Roman"/>
          <w:sz w:val="24"/>
        </w:rPr>
      </w:pPr>
      <w:r w:rsidRPr="00363517">
        <w:rPr>
          <w:rFonts w:ascii="Times New Roman" w:hAnsi="Times New Roman"/>
          <w:sz w:val="24"/>
        </w:rPr>
        <w:t>a gyermekek védelméről és a gyámügyi igazgatásról szóló 1997. évi XXXI. törvény (továbbiakban: Gyvt.)</w:t>
      </w:r>
    </w:p>
    <w:p w:rsidR="00A94468" w:rsidRPr="00363517" w:rsidRDefault="00A94468" w:rsidP="00A94468">
      <w:pPr>
        <w:numPr>
          <w:ilvl w:val="0"/>
          <w:numId w:val="3"/>
        </w:numPr>
        <w:rPr>
          <w:rFonts w:ascii="Times New Roman" w:hAnsi="Times New Roman"/>
          <w:sz w:val="24"/>
        </w:rPr>
      </w:pPr>
      <w:r w:rsidRPr="00363517">
        <w:rPr>
          <w:rFonts w:ascii="Times New Roman" w:hAnsi="Times New Roman"/>
          <w:sz w:val="24"/>
        </w:rPr>
        <w:t>a nemzeti köznevelésről szóló 2011. évi CXC. törvény (továbbiakban: Köznev. tv.)</w:t>
      </w:r>
    </w:p>
    <w:p w:rsidR="00A94468" w:rsidRPr="00363517" w:rsidRDefault="00A94468" w:rsidP="00A94468">
      <w:pPr>
        <w:rPr>
          <w:rFonts w:ascii="Times New Roman" w:hAnsi="Times New Roman"/>
          <w:sz w:val="24"/>
        </w:rPr>
      </w:pPr>
      <w:r w:rsidRPr="00363517">
        <w:rPr>
          <w:rFonts w:ascii="Times New Roman" w:hAnsi="Times New Roman"/>
          <w:sz w:val="24"/>
        </w:rPr>
        <w:t>előírásaira.</w:t>
      </w:r>
    </w:p>
    <w:p w:rsidR="00A94468" w:rsidRPr="00363517" w:rsidRDefault="00A94468" w:rsidP="00A94468">
      <w:pPr>
        <w:rPr>
          <w:rFonts w:ascii="Times New Roman" w:hAnsi="Times New Roman"/>
          <w:sz w:val="24"/>
        </w:rPr>
      </w:pPr>
    </w:p>
    <w:p w:rsidR="00A94468" w:rsidRPr="00363517" w:rsidRDefault="00A94468" w:rsidP="00A94468">
      <w:pPr>
        <w:pStyle w:val="Cmsor3"/>
        <w:keepNext w:val="0"/>
        <w:pageBreakBefore/>
        <w:rPr>
          <w:rFonts w:ascii="Times New Roman" w:hAnsi="Times New Roman"/>
          <w:szCs w:val="24"/>
        </w:rPr>
      </w:pPr>
      <w:bookmarkStart w:id="24" w:name="__RefHeading__49_1906745769"/>
      <w:bookmarkStart w:id="25" w:name="_Toc49500647"/>
      <w:bookmarkStart w:id="26" w:name="_Toc119566836"/>
      <w:bookmarkEnd w:id="24"/>
      <w:r w:rsidRPr="00363517">
        <w:rPr>
          <w:rFonts w:ascii="Times New Roman" w:hAnsi="Times New Roman"/>
          <w:szCs w:val="24"/>
        </w:rPr>
        <w:t>2. Stratégiai környezet bemutatása</w:t>
      </w:r>
      <w:bookmarkEnd w:id="25"/>
      <w:bookmarkEnd w:id="26"/>
    </w:p>
    <w:p w:rsidR="00A94468" w:rsidRPr="00363517" w:rsidRDefault="00A94468" w:rsidP="00A94468">
      <w:pPr>
        <w:ind w:firstLine="709"/>
        <w:rPr>
          <w:rFonts w:ascii="Times New Roman" w:hAnsi="Times New Roman"/>
          <w:sz w:val="24"/>
        </w:rPr>
      </w:pPr>
      <w:r w:rsidRPr="00690C01">
        <w:rPr>
          <w:rFonts w:ascii="Times New Roman" w:hAnsi="Times New Roman"/>
          <w:color w:val="000000"/>
          <w:sz w:val="24"/>
          <w:lang w:eastAsia="hu-HU"/>
        </w:rPr>
        <w:t xml:space="preserve">A felzárkózás politika alapdokumentumaként Magyarország </w:t>
      </w:r>
      <w:r w:rsidRPr="00690C01">
        <w:rPr>
          <w:rFonts w:ascii="Times New Roman" w:hAnsi="Times New Roman"/>
          <w:color w:val="000000"/>
          <w:sz w:val="24"/>
          <w:lang w:val="vi-VN" w:eastAsia="hu-HU"/>
        </w:rPr>
        <w:t>Kormány</w:t>
      </w:r>
      <w:r w:rsidRPr="00690C01">
        <w:rPr>
          <w:rFonts w:ascii="Times New Roman" w:hAnsi="Times New Roman"/>
          <w:color w:val="000000"/>
          <w:sz w:val="24"/>
          <w:lang w:eastAsia="hu-HU"/>
        </w:rPr>
        <w:t>a 2011-ben fogadta el a Nemzeti Társadalmi Felzárkózási Stratégiát [</w:t>
      </w:r>
      <w:r w:rsidRPr="00690C01">
        <w:rPr>
          <w:rFonts w:ascii="Times New Roman" w:hAnsi="Times New Roman"/>
          <w:bCs/>
          <w:color w:val="000000"/>
          <w:sz w:val="24"/>
          <w:lang w:eastAsia="hu-HU"/>
        </w:rPr>
        <w:t>1430/2011. (XII. 13.) Korm. hat.]</w:t>
      </w:r>
      <w:r w:rsidRPr="00690C01">
        <w:rPr>
          <w:rFonts w:ascii="Times New Roman" w:hAnsi="Times New Roman"/>
          <w:color w:val="000000"/>
          <w:sz w:val="24"/>
          <w:lang w:eastAsia="hu-HU"/>
        </w:rPr>
        <w:t xml:space="preserve">, majd 2014-ben annak frissítéseként a </w:t>
      </w:r>
      <w:r w:rsidRPr="00690C01">
        <w:rPr>
          <w:rFonts w:ascii="Times New Roman" w:hAnsi="Times New Roman"/>
          <w:color w:val="000000"/>
          <w:sz w:val="24"/>
          <w:lang w:val="vi-VN" w:eastAsia="hu-HU"/>
        </w:rPr>
        <w:t xml:space="preserve">Magyar </w:t>
      </w:r>
      <w:r w:rsidRPr="00690C01">
        <w:rPr>
          <w:rFonts w:ascii="Times New Roman" w:hAnsi="Times New Roman"/>
          <w:color w:val="000000"/>
          <w:sz w:val="24"/>
          <w:lang w:eastAsia="hu-HU"/>
        </w:rPr>
        <w:t>N</w:t>
      </w:r>
      <w:r w:rsidRPr="00690C01">
        <w:rPr>
          <w:rFonts w:ascii="Times New Roman" w:hAnsi="Times New Roman"/>
          <w:color w:val="000000"/>
          <w:sz w:val="24"/>
          <w:lang w:val="vi-VN" w:eastAsia="hu-HU"/>
        </w:rPr>
        <w:t xml:space="preserve">emzeti </w:t>
      </w:r>
      <w:r w:rsidRPr="00690C01">
        <w:rPr>
          <w:rFonts w:ascii="Times New Roman" w:hAnsi="Times New Roman"/>
          <w:color w:val="000000"/>
          <w:sz w:val="24"/>
          <w:lang w:eastAsia="hu-HU"/>
        </w:rPr>
        <w:t>T</w:t>
      </w:r>
      <w:r w:rsidRPr="00690C01">
        <w:rPr>
          <w:rFonts w:ascii="Times New Roman" w:hAnsi="Times New Roman"/>
          <w:color w:val="000000"/>
          <w:sz w:val="24"/>
          <w:lang w:val="vi-VN" w:eastAsia="hu-HU"/>
        </w:rPr>
        <w:t xml:space="preserve">ársadalmi </w:t>
      </w:r>
      <w:r w:rsidRPr="00690C01">
        <w:rPr>
          <w:rFonts w:ascii="Times New Roman" w:hAnsi="Times New Roman"/>
          <w:color w:val="000000"/>
          <w:sz w:val="24"/>
          <w:lang w:eastAsia="hu-HU"/>
        </w:rPr>
        <w:t>F</w:t>
      </w:r>
      <w:r w:rsidRPr="00690C01">
        <w:rPr>
          <w:rFonts w:ascii="Times New Roman" w:hAnsi="Times New Roman"/>
          <w:color w:val="000000"/>
          <w:sz w:val="24"/>
          <w:lang w:val="vi-VN" w:eastAsia="hu-HU"/>
        </w:rPr>
        <w:t xml:space="preserve">elzárkózási </w:t>
      </w:r>
      <w:r w:rsidRPr="00690C01">
        <w:rPr>
          <w:rFonts w:ascii="Times New Roman" w:hAnsi="Times New Roman"/>
          <w:color w:val="000000"/>
          <w:sz w:val="24"/>
          <w:lang w:eastAsia="hu-HU"/>
        </w:rPr>
        <w:t>S</w:t>
      </w:r>
      <w:r w:rsidRPr="00690C01">
        <w:rPr>
          <w:rFonts w:ascii="Times New Roman" w:hAnsi="Times New Roman"/>
          <w:color w:val="000000"/>
          <w:sz w:val="24"/>
          <w:lang w:val="vi-VN" w:eastAsia="hu-HU"/>
        </w:rPr>
        <w:t>tratégia II</w:t>
      </w:r>
      <w:r w:rsidRPr="00690C01">
        <w:rPr>
          <w:rFonts w:ascii="Times New Roman" w:hAnsi="Times New Roman"/>
          <w:color w:val="000000"/>
          <w:sz w:val="24"/>
          <w:lang w:eastAsia="hu-HU"/>
        </w:rPr>
        <w:t>-t [</w:t>
      </w:r>
      <w:r w:rsidRPr="00690C01">
        <w:rPr>
          <w:rFonts w:ascii="Times New Roman" w:hAnsi="Times New Roman"/>
          <w:color w:val="000000"/>
          <w:sz w:val="24"/>
          <w:lang w:val="vi-VN" w:eastAsia="hu-HU"/>
        </w:rPr>
        <w:t>1603/2014. (XI. 4.) Korm. hat</w:t>
      </w:r>
      <w:r w:rsidRPr="00690C01">
        <w:rPr>
          <w:rFonts w:ascii="Times New Roman" w:hAnsi="Times New Roman"/>
          <w:color w:val="000000"/>
          <w:sz w:val="24"/>
          <w:lang w:eastAsia="hu-HU"/>
        </w:rPr>
        <w:t xml:space="preserve">.]. 2021-ben elkészült a </w:t>
      </w:r>
      <w:r w:rsidRPr="00690C01">
        <w:rPr>
          <w:rFonts w:ascii="Times New Roman" w:hAnsi="Times New Roman"/>
          <w:b/>
          <w:color w:val="000000"/>
          <w:sz w:val="24"/>
          <w:lang w:eastAsia="hu-HU"/>
        </w:rPr>
        <w:t>Magyar Nemzeti Társadalmi Felzárkózási Stratégia 2030</w:t>
      </w:r>
      <w:r w:rsidRPr="00690C01">
        <w:rPr>
          <w:rFonts w:ascii="Times New Roman" w:hAnsi="Times New Roman"/>
          <w:color w:val="000000"/>
          <w:sz w:val="24"/>
          <w:lang w:eastAsia="hu-HU"/>
        </w:rPr>
        <w:t xml:space="preserve"> (MNTFS 2030), amely a következő 10 évre alapozza meg a felzárkózás-politika fő irányait.</w:t>
      </w:r>
      <w:r w:rsidRPr="00363517">
        <w:rPr>
          <w:rFonts w:ascii="Times New Roman" w:hAnsi="Times New Roman"/>
          <w:color w:val="0070C0"/>
          <w:sz w:val="24"/>
          <w:lang w:eastAsia="hu-HU"/>
        </w:rPr>
        <w:t xml:space="preserve"> </w:t>
      </w:r>
      <w:r w:rsidRPr="00363517">
        <w:rPr>
          <w:rFonts w:ascii="Times New Roman" w:hAnsi="Times New Roman"/>
          <w:sz w:val="24"/>
        </w:rPr>
        <w:t>A Nemzeti Társadalmi Felzárkózási Stratégia (NTFS) az Európai Bizottság által 2011-ben jóváhagyott „A nemzeti romaintegrációs stratégiák uniós keretrendszere 2020-ig” című dokumentumban foglaltakhoz illeszkedik. Az NTFS a szegénység elleni fellépés érdekében megfogalmazott felzárkózáspolitikát helyezi középpontba, emellett hangsúlyos célja a roma közösségek kirekesztése ellen ható folyamatok megelőzése, felszámolása. A stratégia célja, hogy a szegénység szempontjából meghatározó problématerületek – gyermekszegénység, romák helyzete, hátrányos helyzetű térségek – hosszú távú elképzeléseinek integrálását, kiegészítését, egységes célrendszerben történő kezelését kívánja előmozdítani, figyelemmel, a többi, a társadalmi felzárkózás szempontjából releváns stratégiára, így a gazdaságfejlesztéssel és foglalkoztatáspolitikára, a vidékfejlesztésre, az egészségügyi, szociálpolitikai, közigazgatási elképzelésekre.</w:t>
      </w:r>
    </w:p>
    <w:p w:rsidR="00A94468" w:rsidRPr="00283B90" w:rsidRDefault="00A94468" w:rsidP="00A94468">
      <w:pPr>
        <w:suppressAutoHyphens w:val="0"/>
        <w:spacing w:after="120"/>
        <w:rPr>
          <w:rFonts w:ascii="Times New Roman" w:hAnsi="Times New Roman"/>
          <w:color w:val="000000"/>
          <w:sz w:val="24"/>
          <w:lang w:eastAsia="hu-HU"/>
        </w:rPr>
      </w:pPr>
    </w:p>
    <w:p w:rsidR="00A94468" w:rsidRPr="00690C01" w:rsidRDefault="00A94468" w:rsidP="00A94468">
      <w:pPr>
        <w:suppressAutoHyphens w:val="0"/>
        <w:ind w:left="709"/>
        <w:jc w:val="left"/>
        <w:rPr>
          <w:rFonts w:ascii="Times New Roman" w:hAnsi="Times New Roman"/>
          <w:b/>
          <w:color w:val="000000"/>
          <w:sz w:val="24"/>
          <w:lang w:eastAsia="hu-HU"/>
        </w:rPr>
      </w:pPr>
      <w:r w:rsidRPr="00690C01">
        <w:rPr>
          <w:rFonts w:ascii="Times New Roman" w:hAnsi="Times New Roman"/>
          <w:b/>
          <w:color w:val="000000"/>
          <w:sz w:val="24"/>
          <w:lang w:eastAsia="hu-HU"/>
        </w:rPr>
        <w:t>Új Roma Stratégia</w:t>
      </w:r>
      <w:r>
        <w:rPr>
          <w:rFonts w:ascii="Times New Roman" w:hAnsi="Times New Roman"/>
          <w:b/>
          <w:color w:val="000000"/>
          <w:sz w:val="24"/>
          <w:lang w:eastAsia="hu-HU"/>
        </w:rPr>
        <w:t xml:space="preserve"> </w:t>
      </w:r>
      <w:r w:rsidRPr="00690C01">
        <w:rPr>
          <w:rFonts w:ascii="Times New Roman" w:hAnsi="Times New Roman"/>
          <w:b/>
          <w:color w:val="000000"/>
          <w:sz w:val="24"/>
          <w:lang w:eastAsia="hu-HU"/>
        </w:rPr>
        <w:t xml:space="preserve">(2019-2030) </w:t>
      </w:r>
    </w:p>
    <w:p w:rsidR="00A94468" w:rsidRPr="00690C01" w:rsidRDefault="00A94468" w:rsidP="00A94468">
      <w:pPr>
        <w:suppressAutoHyphens w:val="0"/>
        <w:ind w:left="709"/>
        <w:jc w:val="left"/>
        <w:rPr>
          <w:rFonts w:ascii="Times New Roman" w:hAnsi="Times New Roman"/>
          <w:b/>
          <w:color w:val="000000"/>
          <w:sz w:val="24"/>
          <w:lang w:eastAsia="hu-HU"/>
        </w:rPr>
      </w:pPr>
      <w:r w:rsidRPr="00283B90">
        <w:rPr>
          <w:rFonts w:ascii="Times New Roman" w:hAnsi="Times New Roman"/>
          <w:b/>
          <w:color w:val="000000"/>
          <w:sz w:val="24"/>
          <w:lang w:eastAsia="hu-HU"/>
        </w:rPr>
        <w:br/>
      </w:r>
      <w:r w:rsidRPr="00690C01">
        <w:rPr>
          <w:rFonts w:ascii="Times New Roman" w:hAnsi="Times New Roman"/>
          <w:b/>
          <w:color w:val="000000"/>
          <w:sz w:val="24"/>
          <w:lang w:eastAsia="hu-HU"/>
        </w:rPr>
        <w:t>Nemzeti Ifjúsági Stratégia (2009-2024)</w:t>
      </w:r>
    </w:p>
    <w:p w:rsidR="00A94468" w:rsidRPr="00363517" w:rsidRDefault="00A94468" w:rsidP="00A94468">
      <w:pPr>
        <w:suppressAutoHyphens w:val="0"/>
        <w:rPr>
          <w:rFonts w:ascii="Times New Roman" w:hAnsi="Times New Roman"/>
          <w:sz w:val="24"/>
        </w:rPr>
      </w:pPr>
      <w:r w:rsidRPr="00363517">
        <w:rPr>
          <w:rFonts w:ascii="Times New Roman" w:hAnsi="Times New Roman"/>
          <w:sz w:val="24"/>
        </w:rPr>
        <w:t>Az Országgyűlés 2009-ben fogadta a Nemzeti Ifjúsági Stratégiáról készült dokumentumot (88/2009. (X. 29.) OGY határozat). A Stratégia az ifjúsági korosztályokkal kapcsolatos állami felelősség összefoglalása a 2009-2024. időszakra vonatkozóan. Részletezi az ifjúságpolitika hosszú távú társadalmi céljait, megvalósításukhoz az egyes területeken a horizontális és specifikus célokat, valamint ezekhez kapcsolódó részcélokat határoz meg.</w:t>
      </w:r>
    </w:p>
    <w:p w:rsidR="00A94468" w:rsidRPr="00283B90" w:rsidRDefault="00A94468" w:rsidP="00A94468">
      <w:pPr>
        <w:suppressAutoHyphens w:val="0"/>
        <w:rPr>
          <w:rFonts w:ascii="Times New Roman" w:hAnsi="Times New Roman"/>
          <w:b/>
          <w:color w:val="000000"/>
          <w:sz w:val="24"/>
          <w:lang w:eastAsia="hu-HU"/>
        </w:rPr>
      </w:pPr>
    </w:p>
    <w:p w:rsidR="00A94468" w:rsidRPr="00690C01" w:rsidRDefault="00A94468" w:rsidP="00A94468">
      <w:pPr>
        <w:suppressAutoHyphens w:val="0"/>
        <w:ind w:left="709"/>
        <w:jc w:val="left"/>
        <w:rPr>
          <w:rFonts w:ascii="Times New Roman" w:hAnsi="Times New Roman"/>
          <w:b/>
          <w:color w:val="000000"/>
          <w:sz w:val="24"/>
          <w:lang w:eastAsia="hu-HU"/>
        </w:rPr>
      </w:pPr>
      <w:r w:rsidRPr="00690C01">
        <w:rPr>
          <w:rFonts w:ascii="Times New Roman" w:hAnsi="Times New Roman"/>
          <w:b/>
          <w:color w:val="000000"/>
          <w:sz w:val="24"/>
          <w:lang w:eastAsia="hu-HU"/>
        </w:rPr>
        <w:t>„Legyen jobb a gyermekeknek” Nemzeti Stratégia (2007-2032)</w:t>
      </w:r>
    </w:p>
    <w:p w:rsidR="00A94468" w:rsidRPr="00283B90" w:rsidRDefault="00A94468" w:rsidP="00A94468">
      <w:pPr>
        <w:suppressAutoHyphens w:val="0"/>
        <w:ind w:left="709"/>
        <w:jc w:val="left"/>
        <w:rPr>
          <w:rFonts w:ascii="Times New Roman" w:hAnsi="Times New Roman"/>
          <w:b/>
          <w:color w:val="000000"/>
          <w:sz w:val="24"/>
          <w:lang w:eastAsia="hu-HU"/>
        </w:rPr>
      </w:pPr>
    </w:p>
    <w:p w:rsidR="00A94468" w:rsidRPr="00363517" w:rsidRDefault="00A94468" w:rsidP="00A94468">
      <w:pPr>
        <w:rPr>
          <w:rFonts w:ascii="Times New Roman" w:hAnsi="Times New Roman"/>
          <w:bCs/>
          <w:sz w:val="24"/>
        </w:rPr>
      </w:pPr>
      <w:r w:rsidRPr="00363517">
        <w:rPr>
          <w:rFonts w:ascii="Times New Roman" w:hAnsi="Times New Roman"/>
          <w:bCs/>
          <w:sz w:val="24"/>
        </w:rPr>
        <w:t>A Legyen Jobb a Gyerekeknek Nemzeti Stratégia (</w:t>
      </w:r>
      <w:r w:rsidRPr="00363517">
        <w:rPr>
          <w:rFonts w:ascii="Times New Roman" w:hAnsi="Times New Roman"/>
          <w:sz w:val="24"/>
        </w:rPr>
        <w:t xml:space="preserve">47/2007. (V. 31.) OGY határozat, a „Legyen jobb a gyermekeknek!” Nemzeti Stratégiáról, 2007-2032) </w:t>
      </w:r>
      <w:r w:rsidRPr="00363517">
        <w:rPr>
          <w:rFonts w:ascii="Times New Roman" w:hAnsi="Times New Roman"/>
          <w:bCs/>
          <w:sz w:val="24"/>
        </w:rPr>
        <w:t xml:space="preserve">szükségességét elsősorban az indokolta, hogy csökkentse a gyermekek és családjaik nélkülözését, javítsa a gyermekek fejlődési esélyeit. A törvény minden gyerekre kiterjed, de értelemszerűen azoknak a gyerekeknek kell prioritást kapniuk, akiknek érdekei a legjobban sérülnek, akiknél a nélkülözések a legjobban korlátozzák fejlődésüket. A Nemzeti Stratégia másik fontos indoka a szegénységi ciklus megszakításának szükségessége, a gyermekek és a társadalom közös távlati érdeke. </w:t>
      </w:r>
    </w:p>
    <w:p w:rsidR="00A94468" w:rsidRPr="00690C01" w:rsidRDefault="00A94468" w:rsidP="00A94468">
      <w:pPr>
        <w:suppressAutoHyphens w:val="0"/>
        <w:ind w:left="709"/>
        <w:jc w:val="left"/>
        <w:rPr>
          <w:rFonts w:ascii="Times New Roman" w:hAnsi="Times New Roman"/>
          <w:b/>
          <w:color w:val="000000"/>
          <w:sz w:val="24"/>
          <w:lang w:eastAsia="hu-HU"/>
        </w:rPr>
      </w:pPr>
      <w:r w:rsidRPr="00283B90">
        <w:rPr>
          <w:rFonts w:ascii="Times New Roman" w:hAnsi="Times New Roman"/>
          <w:b/>
          <w:color w:val="000000"/>
          <w:sz w:val="24"/>
          <w:lang w:eastAsia="hu-HU"/>
        </w:rPr>
        <w:br/>
      </w:r>
      <w:r w:rsidRPr="00690C01">
        <w:rPr>
          <w:rFonts w:ascii="Times New Roman" w:hAnsi="Times New Roman"/>
          <w:b/>
          <w:color w:val="000000"/>
          <w:sz w:val="24"/>
          <w:lang w:eastAsia="hu-HU"/>
        </w:rPr>
        <w:t xml:space="preserve">Nők és Férfiak Társadalmi Egyenlőségét Elősegítő Nemzeti Stratégia (2010-2021) </w:t>
      </w:r>
      <w:r w:rsidRPr="00690C01">
        <w:rPr>
          <w:rFonts w:ascii="Times New Roman" w:hAnsi="Times New Roman"/>
          <w:b/>
          <w:color w:val="000000"/>
          <w:sz w:val="24"/>
          <w:lang w:eastAsia="hu-HU"/>
        </w:rPr>
        <w:br/>
        <w:t>Idősügyi Nemzeti Stratégia (2010-2022), (2023-2024)</w:t>
      </w:r>
      <w:r w:rsidRPr="00690C01">
        <w:rPr>
          <w:rFonts w:ascii="Times New Roman" w:hAnsi="Times New Roman"/>
          <w:b/>
          <w:color w:val="000000"/>
          <w:sz w:val="24"/>
          <w:lang w:eastAsia="hu-HU"/>
        </w:rPr>
        <w:br/>
        <w:t>Országos Fogyatékosságügyi Program (2015-2025)</w:t>
      </w:r>
    </w:p>
    <w:p w:rsidR="00A94468" w:rsidRPr="00690C01" w:rsidRDefault="00A94468" w:rsidP="00A94468">
      <w:pPr>
        <w:suppressAutoHyphens w:val="0"/>
        <w:ind w:left="709"/>
        <w:jc w:val="left"/>
        <w:rPr>
          <w:rFonts w:ascii="Times New Roman" w:hAnsi="Times New Roman"/>
          <w:b/>
          <w:color w:val="000000"/>
          <w:sz w:val="24"/>
          <w:lang w:eastAsia="hu-HU"/>
        </w:rPr>
      </w:pPr>
    </w:p>
    <w:p w:rsidR="00A94468" w:rsidRPr="00690C01" w:rsidRDefault="00A94468" w:rsidP="00A94468">
      <w:pPr>
        <w:suppressAutoHyphens w:val="0"/>
        <w:spacing w:after="120"/>
        <w:rPr>
          <w:rFonts w:ascii="Times New Roman" w:eastAsia="Calibri" w:hAnsi="Times New Roman"/>
          <w:color w:val="000000"/>
          <w:sz w:val="24"/>
          <w:lang w:eastAsia="hu-HU"/>
        </w:rPr>
      </w:pPr>
      <w:r w:rsidRPr="00690C01">
        <w:rPr>
          <w:rFonts w:ascii="Times New Roman" w:hAnsi="Times New Roman"/>
          <w:color w:val="000000"/>
          <w:sz w:val="24"/>
          <w:lang w:eastAsia="hu-HU"/>
        </w:rPr>
        <w:t xml:space="preserve">A </w:t>
      </w:r>
      <w:r w:rsidRPr="00690C01">
        <w:rPr>
          <w:rFonts w:ascii="Times New Roman" w:eastAsia="Calibri" w:hAnsi="Times New Roman"/>
          <w:color w:val="000000"/>
          <w:sz w:val="24"/>
          <w:lang w:eastAsia="hu-HU"/>
        </w:rPr>
        <w:t xml:space="preserve">HEP-ekben leképeződik a felzárkózási stratégia szemlélete, így azok a felzárkózás politika helyi szintű részeként és a végrehajtás eszközeiként működnek. </w:t>
      </w:r>
    </w:p>
    <w:p w:rsidR="00A94468" w:rsidRPr="00690C01" w:rsidRDefault="00A94468" w:rsidP="00A94468">
      <w:pPr>
        <w:suppressAutoHyphens w:val="0"/>
        <w:autoSpaceDE w:val="0"/>
        <w:autoSpaceDN w:val="0"/>
        <w:adjustRightInd w:val="0"/>
        <w:spacing w:after="120"/>
        <w:rPr>
          <w:rFonts w:ascii="Times New Roman" w:hAnsi="Times New Roman"/>
          <w:color w:val="000000"/>
          <w:sz w:val="24"/>
          <w:lang w:eastAsia="hu-HU"/>
        </w:rPr>
      </w:pPr>
      <w:r w:rsidRPr="00690C01">
        <w:rPr>
          <w:rFonts w:ascii="Times New Roman" w:hAnsi="Times New Roman"/>
          <w:color w:val="000000"/>
          <w:sz w:val="24"/>
          <w:lang w:eastAsia="hu-HU"/>
        </w:rPr>
        <w:t xml:space="preserve">A helyi felzárkózás politika tervezési alapjaként épít a HEP-ekre a Pénzügyminisztérium összefogásában készült </w:t>
      </w:r>
      <w:r w:rsidRPr="00690C01">
        <w:rPr>
          <w:rFonts w:ascii="Times New Roman" w:hAnsi="Times New Roman"/>
          <w:b/>
          <w:color w:val="000000"/>
          <w:sz w:val="24"/>
          <w:lang w:eastAsia="hu-HU"/>
        </w:rPr>
        <w:t>Nemzeti Fejlesztés 2030</w:t>
      </w:r>
      <w:r w:rsidRPr="00690C01">
        <w:rPr>
          <w:rFonts w:ascii="Times New Roman" w:hAnsi="Times New Roman"/>
          <w:color w:val="000000"/>
          <w:sz w:val="24"/>
          <w:lang w:eastAsia="hu-HU"/>
        </w:rPr>
        <w:t xml:space="preserve">, </w:t>
      </w:r>
      <w:r w:rsidRPr="00690C01">
        <w:rPr>
          <w:rFonts w:ascii="Times New Roman" w:hAnsi="Times New Roman"/>
          <w:b/>
          <w:color w:val="000000"/>
          <w:sz w:val="24"/>
          <w:lang w:eastAsia="hu-HU"/>
        </w:rPr>
        <w:t>Országos Fejlesztési és Területfejlesztési Koncepció</w:t>
      </w:r>
      <w:r w:rsidRPr="00690C01">
        <w:rPr>
          <w:rFonts w:ascii="Times New Roman" w:hAnsi="Times New Roman"/>
          <w:color w:val="000000"/>
          <w:sz w:val="24"/>
          <w:lang w:eastAsia="hu-HU"/>
        </w:rPr>
        <w:t xml:space="preserve"> is. </w:t>
      </w:r>
    </w:p>
    <w:p w:rsidR="00A94468" w:rsidRPr="00690C01" w:rsidRDefault="00A94468" w:rsidP="00A94468">
      <w:pPr>
        <w:suppressAutoHyphens w:val="0"/>
        <w:spacing w:after="120"/>
        <w:rPr>
          <w:rFonts w:ascii="Times New Roman" w:hAnsi="Times New Roman"/>
          <w:i/>
          <w:color w:val="000000"/>
          <w:sz w:val="24"/>
          <w:lang w:eastAsia="en-US"/>
        </w:rPr>
      </w:pPr>
      <w:r w:rsidRPr="00690C01">
        <w:rPr>
          <w:rFonts w:ascii="Times New Roman" w:hAnsi="Times New Roman"/>
          <w:color w:val="000000"/>
          <w:sz w:val="24"/>
          <w:lang w:eastAsia="en-US"/>
        </w:rPr>
        <w:t xml:space="preserve">Az Ebktv. 31. § (2) bekezdése értelmében </w:t>
      </w:r>
      <w:r w:rsidRPr="00690C01">
        <w:rPr>
          <w:rFonts w:ascii="Times New Roman" w:hAnsi="Times New Roman"/>
          <w:b/>
          <w:color w:val="000000"/>
          <w:sz w:val="24"/>
          <w:lang w:eastAsia="en-US"/>
        </w:rPr>
        <w:t>a programalkotás során gondoskodni kell a HEP és a települési önkormányzat által készítendő egyéb fejlesztési tervek, koncepciók, továbbá a köznevelési esélyegyenlőségi terv, illetve a szakképzési esélyegyenlőségi terv és az integrált településfejlesztési stratégia antiszegregációs célkitűzéseinek összhangjáról.</w:t>
      </w:r>
    </w:p>
    <w:p w:rsidR="00A94468" w:rsidRPr="00363517" w:rsidRDefault="00A94468" w:rsidP="00A94468">
      <w:pPr>
        <w:autoSpaceDE w:val="0"/>
        <w:spacing w:after="20"/>
        <w:rPr>
          <w:rFonts w:ascii="Times New Roman" w:hAnsi="Times New Roman"/>
          <w:sz w:val="24"/>
        </w:rPr>
      </w:pPr>
    </w:p>
    <w:p w:rsidR="00A94468" w:rsidRPr="00363517" w:rsidRDefault="00A94468" w:rsidP="00A94468">
      <w:pPr>
        <w:rPr>
          <w:rFonts w:ascii="Times New Roman" w:hAnsi="Times New Roman"/>
          <w:sz w:val="24"/>
        </w:rPr>
      </w:pPr>
    </w:p>
    <w:p w:rsidR="00A94468" w:rsidRPr="00363517" w:rsidRDefault="00A94468" w:rsidP="00A94468">
      <w:pPr>
        <w:autoSpaceDE w:val="0"/>
        <w:spacing w:after="20"/>
        <w:ind w:firstLine="142"/>
        <w:rPr>
          <w:rFonts w:ascii="Times New Roman" w:hAnsi="Times New Roman"/>
          <w:b/>
          <w:sz w:val="24"/>
        </w:rPr>
      </w:pPr>
      <w:r w:rsidRPr="00363517">
        <w:rPr>
          <w:rFonts w:ascii="Times New Roman" w:hAnsi="Times New Roman"/>
          <w:b/>
          <w:sz w:val="24"/>
        </w:rPr>
        <w:t>2.1 Kapcsolódás helyi stratégiai és települési önkormányzati dokumentumokkal, koncepciókkal, programokkal</w:t>
      </w:r>
    </w:p>
    <w:p w:rsidR="00A94468" w:rsidRPr="00283B90" w:rsidRDefault="00A94468" w:rsidP="00A94468">
      <w:pPr>
        <w:rPr>
          <w:rFonts w:ascii="Times New Roman" w:hAnsi="Times New Roman"/>
          <w:color w:val="000000"/>
          <w:sz w:val="24"/>
        </w:rPr>
      </w:pPr>
      <w:r w:rsidRPr="00283B90">
        <w:rPr>
          <w:rFonts w:ascii="Times New Roman" w:hAnsi="Times New Roman"/>
          <w:color w:val="000000"/>
          <w:sz w:val="24"/>
        </w:rPr>
        <w:tab/>
      </w:r>
    </w:p>
    <w:p w:rsidR="00A94468" w:rsidRPr="00363517" w:rsidRDefault="00A94468" w:rsidP="00A94468">
      <w:pPr>
        <w:numPr>
          <w:ilvl w:val="0"/>
          <w:numId w:val="4"/>
        </w:numPr>
        <w:rPr>
          <w:rFonts w:ascii="Times New Roman" w:hAnsi="Times New Roman"/>
          <w:color w:val="000000"/>
          <w:sz w:val="24"/>
        </w:rPr>
      </w:pPr>
      <w:r w:rsidRPr="00363517">
        <w:rPr>
          <w:rFonts w:ascii="Times New Roman" w:hAnsi="Times New Roman"/>
          <w:color w:val="000000"/>
          <w:sz w:val="24"/>
        </w:rPr>
        <w:t>A 73/2015 (IV.29.) számú Képviselő-testületi határozattal elfogadott Társadalmi-Gazdasági Program</w:t>
      </w:r>
    </w:p>
    <w:p w:rsidR="00A94468" w:rsidRPr="00363517" w:rsidRDefault="00A94468" w:rsidP="00A94468">
      <w:pPr>
        <w:numPr>
          <w:ilvl w:val="0"/>
          <w:numId w:val="4"/>
        </w:numPr>
        <w:rPr>
          <w:rFonts w:ascii="Times New Roman" w:hAnsi="Times New Roman"/>
          <w:color w:val="000000"/>
          <w:sz w:val="24"/>
        </w:rPr>
      </w:pPr>
      <w:r w:rsidRPr="00363517">
        <w:rPr>
          <w:rFonts w:ascii="Times New Roman" w:hAnsi="Times New Roman"/>
          <w:color w:val="000000"/>
          <w:sz w:val="24"/>
        </w:rPr>
        <w:t>A 93/2005.(VI.14.) számú Képviselő-testületi határozattal elfogadott Településfejlesztési stratégia</w:t>
      </w:r>
    </w:p>
    <w:p w:rsidR="00A94468" w:rsidRPr="00363517" w:rsidRDefault="00A94468" w:rsidP="00A94468">
      <w:pPr>
        <w:numPr>
          <w:ilvl w:val="0"/>
          <w:numId w:val="4"/>
        </w:numPr>
        <w:rPr>
          <w:rFonts w:ascii="Times New Roman" w:hAnsi="Times New Roman"/>
          <w:color w:val="000000"/>
          <w:sz w:val="24"/>
        </w:rPr>
      </w:pPr>
      <w:r w:rsidRPr="00363517">
        <w:rPr>
          <w:rFonts w:ascii="Times New Roman" w:hAnsi="Times New Roman"/>
          <w:color w:val="000000"/>
          <w:sz w:val="24"/>
        </w:rPr>
        <w:t>A 10/2004. (II.25.) számú Képviselő-testületi határozattal elfogadott Településrendezési terv, településszerkezeti terv</w:t>
      </w:r>
    </w:p>
    <w:p w:rsidR="00A94468" w:rsidRPr="00363517" w:rsidRDefault="00A94468" w:rsidP="00A94468">
      <w:pPr>
        <w:numPr>
          <w:ilvl w:val="0"/>
          <w:numId w:val="4"/>
        </w:numPr>
        <w:rPr>
          <w:rFonts w:ascii="Times New Roman" w:hAnsi="Times New Roman"/>
          <w:color w:val="000000"/>
          <w:sz w:val="24"/>
        </w:rPr>
      </w:pPr>
      <w:r w:rsidRPr="00363517">
        <w:rPr>
          <w:rFonts w:ascii="Times New Roman" w:hAnsi="Times New Roman"/>
          <w:color w:val="000000"/>
          <w:sz w:val="24"/>
        </w:rPr>
        <w:t>A 46/2002. (VI.5.) számú Képviselő-testületi határozattal elfogadott Településfejlesztési koncepció</w:t>
      </w:r>
    </w:p>
    <w:p w:rsidR="00A94468" w:rsidRPr="00363517" w:rsidRDefault="00A94468" w:rsidP="00A94468">
      <w:pPr>
        <w:numPr>
          <w:ilvl w:val="0"/>
          <w:numId w:val="4"/>
        </w:numPr>
        <w:rPr>
          <w:rFonts w:ascii="Times New Roman" w:hAnsi="Times New Roman"/>
          <w:color w:val="000000"/>
          <w:sz w:val="24"/>
        </w:rPr>
      </w:pPr>
      <w:r w:rsidRPr="00363517">
        <w:rPr>
          <w:rFonts w:ascii="Times New Roman" w:hAnsi="Times New Roman"/>
          <w:color w:val="000000"/>
          <w:sz w:val="24"/>
        </w:rPr>
        <w:t>Csorvás Nagyközség Önkormányzatának 7/2004.(II.27.) számú rendelete a nagyközség helyi építési szabályzatáról</w:t>
      </w:r>
    </w:p>
    <w:p w:rsidR="00A94468" w:rsidRPr="00363517" w:rsidRDefault="00A94468" w:rsidP="00A94468">
      <w:pPr>
        <w:numPr>
          <w:ilvl w:val="0"/>
          <w:numId w:val="4"/>
        </w:numPr>
        <w:rPr>
          <w:rFonts w:ascii="Times New Roman" w:hAnsi="Times New Roman"/>
          <w:color w:val="000000"/>
          <w:sz w:val="24"/>
        </w:rPr>
      </w:pPr>
      <w:r w:rsidRPr="00363517">
        <w:rPr>
          <w:rFonts w:ascii="Times New Roman" w:hAnsi="Times New Roman"/>
          <w:color w:val="000000"/>
          <w:sz w:val="24"/>
        </w:rPr>
        <w:t>Közoktatási Esélyegyenlőségi Program</w:t>
      </w:r>
    </w:p>
    <w:p w:rsidR="00A94468" w:rsidRPr="00363517" w:rsidRDefault="00A94468" w:rsidP="00A94468">
      <w:pPr>
        <w:numPr>
          <w:ilvl w:val="0"/>
          <w:numId w:val="4"/>
        </w:numPr>
        <w:rPr>
          <w:rFonts w:ascii="Times New Roman" w:hAnsi="Times New Roman"/>
          <w:color w:val="000000"/>
          <w:sz w:val="24"/>
        </w:rPr>
      </w:pPr>
      <w:r w:rsidRPr="00363517">
        <w:rPr>
          <w:rFonts w:ascii="Times New Roman" w:hAnsi="Times New Roman"/>
          <w:color w:val="000000"/>
          <w:sz w:val="24"/>
        </w:rPr>
        <w:t>Közoktatási Esélyegyenlőségi Helyzetelemzés és Terv</w:t>
      </w:r>
    </w:p>
    <w:p w:rsidR="00A94468" w:rsidRPr="00C80FD4" w:rsidRDefault="00A94468" w:rsidP="00A94468">
      <w:pPr>
        <w:numPr>
          <w:ilvl w:val="0"/>
          <w:numId w:val="4"/>
        </w:numPr>
        <w:rPr>
          <w:rFonts w:ascii="Times New Roman" w:hAnsi="Times New Roman"/>
          <w:color w:val="000000"/>
          <w:sz w:val="24"/>
        </w:rPr>
      </w:pPr>
      <w:r w:rsidRPr="00363517">
        <w:rPr>
          <w:rFonts w:ascii="Times New Roman" w:hAnsi="Times New Roman"/>
          <w:sz w:val="24"/>
        </w:rPr>
        <w:t>A 114/2017. (IX. 6.) számú képviselő-testületi határozattal elfogadott Szociális Szolgáltatástervezési Koncepció</w:t>
      </w:r>
    </w:p>
    <w:p w:rsidR="00A94468" w:rsidRPr="00A36E48" w:rsidRDefault="00A94468" w:rsidP="00A94468">
      <w:pPr>
        <w:numPr>
          <w:ilvl w:val="0"/>
          <w:numId w:val="4"/>
        </w:numPr>
        <w:rPr>
          <w:rFonts w:ascii="Times New Roman" w:hAnsi="Times New Roman"/>
          <w:color w:val="000000"/>
          <w:sz w:val="24"/>
        </w:rPr>
      </w:pPr>
      <w:r w:rsidRPr="00597E97">
        <w:rPr>
          <w:rFonts w:ascii="Times New Roman" w:hAnsi="Times New Roman"/>
          <w:sz w:val="24"/>
        </w:rPr>
        <w:t>Csorvás Város Önkormányzatának a Bursa Hungarica Felsőoktatási Önkormányzati Ösztöndíjpályázatról szóló 11/2019. (X.1.) önkormányzati rendelete</w:t>
      </w:r>
    </w:p>
    <w:p w:rsidR="00A94468" w:rsidRPr="00A36E48" w:rsidRDefault="00A94468" w:rsidP="00A94468">
      <w:pPr>
        <w:numPr>
          <w:ilvl w:val="0"/>
          <w:numId w:val="4"/>
        </w:numPr>
        <w:rPr>
          <w:rFonts w:ascii="Times New Roman" w:hAnsi="Times New Roman"/>
          <w:color w:val="000000"/>
          <w:sz w:val="24"/>
        </w:rPr>
      </w:pPr>
      <w:r w:rsidRPr="00B44550">
        <w:rPr>
          <w:rFonts w:ascii="Times New Roman" w:hAnsi="Times New Roman"/>
          <w:color w:val="000000"/>
          <w:sz w:val="24"/>
        </w:rPr>
        <w:t>Csorvás Város Önkormányzata Képviselő-testületének a települési támogatások rendszeréről, valamint a személyes gondoskodást nyújtó szociális ellátásokról szóló</w:t>
      </w:r>
      <w:r>
        <w:rPr>
          <w:rFonts w:ascii="Times New Roman" w:hAnsi="Times New Roman"/>
          <w:color w:val="000000"/>
          <w:sz w:val="24"/>
        </w:rPr>
        <w:t xml:space="preserve"> 6</w:t>
      </w:r>
      <w:r w:rsidRPr="00B44550">
        <w:rPr>
          <w:rFonts w:ascii="Times New Roman" w:hAnsi="Times New Roman"/>
          <w:color w:val="000000"/>
          <w:sz w:val="24"/>
        </w:rPr>
        <w:t>/20</w:t>
      </w:r>
      <w:r>
        <w:rPr>
          <w:rFonts w:ascii="Times New Roman" w:hAnsi="Times New Roman"/>
          <w:color w:val="000000"/>
          <w:sz w:val="24"/>
        </w:rPr>
        <w:t>15</w:t>
      </w:r>
      <w:r w:rsidRPr="00B44550">
        <w:rPr>
          <w:rFonts w:ascii="Times New Roman" w:hAnsi="Times New Roman"/>
          <w:color w:val="000000"/>
          <w:sz w:val="24"/>
        </w:rPr>
        <w:t xml:space="preserve">. </w:t>
      </w:r>
      <w:r w:rsidRPr="009732F5">
        <w:rPr>
          <w:rFonts w:ascii="Times New Roman" w:hAnsi="Times New Roman"/>
          <w:color w:val="000000"/>
          <w:sz w:val="24"/>
        </w:rPr>
        <w:t>(II.27.)</w:t>
      </w:r>
      <w:r w:rsidRPr="00B44550">
        <w:rPr>
          <w:rFonts w:ascii="Times New Roman" w:hAnsi="Times New Roman"/>
          <w:color w:val="000000"/>
          <w:sz w:val="24"/>
        </w:rPr>
        <w:t xml:space="preserve"> önkormányzati rendelete</w:t>
      </w:r>
      <w:r>
        <w:rPr>
          <w:rFonts w:ascii="Times New Roman" w:hAnsi="Times New Roman"/>
          <w:color w:val="000000"/>
          <w:sz w:val="24"/>
        </w:rPr>
        <w:t xml:space="preserve"> – 2022. január 1. napjától hatályon kívül</w:t>
      </w:r>
    </w:p>
    <w:p w:rsidR="00A94468" w:rsidRPr="00B44550" w:rsidRDefault="00A94468" w:rsidP="00A94468">
      <w:pPr>
        <w:numPr>
          <w:ilvl w:val="0"/>
          <w:numId w:val="4"/>
        </w:numPr>
        <w:rPr>
          <w:rFonts w:ascii="Times New Roman" w:hAnsi="Times New Roman"/>
          <w:color w:val="000000"/>
          <w:sz w:val="24"/>
        </w:rPr>
      </w:pPr>
      <w:r w:rsidRPr="00B44550">
        <w:rPr>
          <w:rFonts w:ascii="Times New Roman" w:hAnsi="Times New Roman"/>
          <w:color w:val="000000"/>
          <w:sz w:val="24"/>
        </w:rPr>
        <w:t>Csorvás Város Önkormányzata Képviselő-testületének a települési támogatások rendszeréről, valamint a személyes gondoskodást nyújtó szociális ellátásokról szóló 14/2021. (XII. 9.) önkormányzati rendelete</w:t>
      </w:r>
      <w:r>
        <w:rPr>
          <w:rFonts w:ascii="Times New Roman" w:hAnsi="Times New Roman"/>
          <w:color w:val="000000"/>
          <w:sz w:val="24"/>
        </w:rPr>
        <w:t xml:space="preserve"> – 2022. január 1. napjától hatályos</w:t>
      </w:r>
    </w:p>
    <w:p w:rsidR="00A94468" w:rsidRPr="00B44550" w:rsidRDefault="00A94468" w:rsidP="00A94468">
      <w:pPr>
        <w:rPr>
          <w:rFonts w:ascii="Times New Roman" w:hAnsi="Times New Roman"/>
          <w:color w:val="000000"/>
          <w:sz w:val="24"/>
        </w:rPr>
      </w:pPr>
    </w:p>
    <w:p w:rsidR="00A94468" w:rsidRPr="00363517" w:rsidRDefault="00A94468" w:rsidP="00A94468">
      <w:pPr>
        <w:autoSpaceDE w:val="0"/>
        <w:ind w:firstLine="142"/>
        <w:rPr>
          <w:rFonts w:ascii="Times New Roman" w:hAnsi="Times New Roman"/>
          <w:b/>
          <w:sz w:val="24"/>
        </w:rPr>
      </w:pPr>
    </w:p>
    <w:p w:rsidR="00A94468" w:rsidRPr="00363517" w:rsidRDefault="00A94468" w:rsidP="00A94468">
      <w:pPr>
        <w:autoSpaceDE w:val="0"/>
        <w:ind w:firstLine="142"/>
        <w:rPr>
          <w:rFonts w:ascii="Times New Roman" w:hAnsi="Times New Roman"/>
          <w:b/>
          <w:sz w:val="24"/>
        </w:rPr>
      </w:pPr>
      <w:r w:rsidRPr="00363517">
        <w:rPr>
          <w:rFonts w:ascii="Times New Roman" w:hAnsi="Times New Roman"/>
          <w:b/>
          <w:sz w:val="24"/>
        </w:rPr>
        <w:t>2.2 A helyi esélyegyenlőségi program térségi, társulási kapcsolódásainak bemutatása</w:t>
      </w:r>
      <w:r w:rsidRPr="00363517">
        <w:rPr>
          <w:rFonts w:ascii="Times New Roman" w:hAnsi="Times New Roman"/>
          <w:b/>
          <w:sz w:val="24"/>
        </w:rPr>
        <w:br/>
      </w:r>
    </w:p>
    <w:p w:rsidR="00A94468" w:rsidRPr="00363517" w:rsidRDefault="00A94468" w:rsidP="00A94468">
      <w:pPr>
        <w:rPr>
          <w:rFonts w:ascii="Times New Roman" w:hAnsi="Times New Roman"/>
          <w:sz w:val="24"/>
        </w:rPr>
      </w:pPr>
      <w:r w:rsidRPr="00363517">
        <w:rPr>
          <w:rFonts w:ascii="Times New Roman" w:hAnsi="Times New Roman"/>
          <w:sz w:val="24"/>
        </w:rPr>
        <w:t xml:space="preserve">Csorvás város Békés megyében található, 2013. január 1-től a Békéscsabai járáshoz tartozik. </w:t>
      </w:r>
      <w:r w:rsidRPr="00363517">
        <w:rPr>
          <w:rFonts w:ascii="Times New Roman" w:hAnsi="Times New Roman"/>
          <w:sz w:val="24"/>
        </w:rPr>
        <w:br/>
        <w:t xml:space="preserve">Megyei szinten az alábbi tervekkel, programokkal rendelkezünk: </w:t>
      </w:r>
      <w:r w:rsidRPr="00363517">
        <w:rPr>
          <w:rFonts w:ascii="Times New Roman" w:hAnsi="Times New Roman"/>
          <w:sz w:val="24"/>
        </w:rPr>
        <w:tab/>
      </w:r>
      <w:r w:rsidRPr="00363517">
        <w:rPr>
          <w:rFonts w:ascii="Times New Roman" w:hAnsi="Times New Roman"/>
          <w:sz w:val="24"/>
        </w:rPr>
        <w:br/>
      </w:r>
    </w:p>
    <w:p w:rsidR="00A94468" w:rsidRPr="00363517" w:rsidRDefault="00A94468" w:rsidP="00A94468">
      <w:pPr>
        <w:numPr>
          <w:ilvl w:val="0"/>
          <w:numId w:val="5"/>
        </w:numPr>
        <w:jc w:val="left"/>
        <w:rPr>
          <w:rFonts w:ascii="Times New Roman" w:hAnsi="Times New Roman"/>
          <w:color w:val="000000"/>
          <w:sz w:val="24"/>
        </w:rPr>
      </w:pPr>
      <w:r w:rsidRPr="00363517">
        <w:rPr>
          <w:rFonts w:ascii="Times New Roman" w:hAnsi="Times New Roman"/>
          <w:color w:val="000000"/>
          <w:sz w:val="24"/>
        </w:rPr>
        <w:t>Békés Megye Területfejlesztési Koncepciója</w:t>
      </w:r>
      <w:r w:rsidRPr="00363517">
        <w:rPr>
          <w:rFonts w:ascii="Times New Roman" w:hAnsi="Times New Roman"/>
          <w:color w:val="000000"/>
          <w:sz w:val="24"/>
        </w:rPr>
        <w:tab/>
      </w:r>
    </w:p>
    <w:p w:rsidR="00A94468" w:rsidRPr="00363517" w:rsidRDefault="00A94468" w:rsidP="00A94468">
      <w:pPr>
        <w:numPr>
          <w:ilvl w:val="0"/>
          <w:numId w:val="5"/>
        </w:numPr>
        <w:jc w:val="left"/>
        <w:rPr>
          <w:rFonts w:ascii="Times New Roman" w:hAnsi="Times New Roman"/>
          <w:color w:val="000000"/>
          <w:sz w:val="24"/>
        </w:rPr>
      </w:pPr>
      <w:r w:rsidRPr="00363517">
        <w:rPr>
          <w:rFonts w:ascii="Times New Roman" w:hAnsi="Times New Roman"/>
          <w:color w:val="000000"/>
          <w:sz w:val="24"/>
        </w:rPr>
        <w:t>Békés Megye Területrendezési Terve</w:t>
      </w:r>
    </w:p>
    <w:p w:rsidR="00A94468" w:rsidRPr="00363517" w:rsidRDefault="00A94468" w:rsidP="00A94468">
      <w:pPr>
        <w:rPr>
          <w:rFonts w:ascii="Times New Roman" w:hAnsi="Times New Roman"/>
          <w:sz w:val="20"/>
          <w:szCs w:val="20"/>
        </w:rPr>
      </w:pPr>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rPr>
      </w:pPr>
      <w:r w:rsidRPr="00363517">
        <w:rPr>
          <w:rFonts w:ascii="Times New Roman" w:hAnsi="Times New Roman"/>
          <w:sz w:val="24"/>
        </w:rPr>
        <w:t xml:space="preserve">Csorvás </w:t>
      </w:r>
      <w:r w:rsidRPr="00363517">
        <w:rPr>
          <w:rFonts w:ascii="Times New Roman" w:hAnsi="Times New Roman"/>
          <w:color w:val="000000"/>
          <w:sz w:val="24"/>
        </w:rPr>
        <w:t>11 települési önkormányzattal (Kardoskút, Pusztaföldvár, Tótkomlós, Gerendás, Csanádapáca, Nagyszénás, Gádoros, Orosháza, Békéssámson, Árpádhalom, Nagymágocs)</w:t>
      </w:r>
      <w:r w:rsidRPr="00363517">
        <w:rPr>
          <w:rFonts w:ascii="Times New Roman" w:hAnsi="Times New Roman"/>
          <w:color w:val="FF0000"/>
          <w:sz w:val="24"/>
        </w:rPr>
        <w:t xml:space="preserve"> </w:t>
      </w:r>
      <w:r w:rsidRPr="00363517">
        <w:rPr>
          <w:rFonts w:ascii="Times New Roman" w:hAnsi="Times New Roman"/>
          <w:sz w:val="24"/>
        </w:rPr>
        <w:t>együtt alkotja az Orosházi Kistérség</w:t>
      </w:r>
      <w:r>
        <w:rPr>
          <w:rFonts w:ascii="Times New Roman" w:hAnsi="Times New Roman"/>
          <w:sz w:val="24"/>
        </w:rPr>
        <w:t>e</w:t>
      </w:r>
      <w:r w:rsidRPr="00363517">
        <w:rPr>
          <w:rFonts w:ascii="Times New Roman" w:hAnsi="Times New Roman"/>
          <w:sz w:val="24"/>
        </w:rPr>
        <w:t>t. A kistérség az alábbi programokkal, tervekkel rendelkezik:</w:t>
      </w:r>
      <w:r w:rsidRPr="00363517">
        <w:rPr>
          <w:rFonts w:ascii="Times New Roman" w:hAnsi="Times New Roman"/>
          <w:sz w:val="24"/>
        </w:rPr>
        <w:tab/>
      </w:r>
      <w:r w:rsidRPr="00363517">
        <w:rPr>
          <w:rFonts w:ascii="Times New Roman" w:hAnsi="Times New Roman"/>
          <w:sz w:val="24"/>
        </w:rPr>
        <w:br/>
      </w:r>
    </w:p>
    <w:p w:rsidR="00A94468" w:rsidRPr="00363517" w:rsidRDefault="00A94468" w:rsidP="00A94468">
      <w:pPr>
        <w:numPr>
          <w:ilvl w:val="0"/>
          <w:numId w:val="6"/>
        </w:numPr>
        <w:jc w:val="left"/>
        <w:rPr>
          <w:rFonts w:ascii="Times New Roman" w:hAnsi="Times New Roman"/>
          <w:color w:val="000000"/>
          <w:sz w:val="24"/>
        </w:rPr>
      </w:pPr>
      <w:r w:rsidRPr="00363517">
        <w:rPr>
          <w:rFonts w:ascii="Times New Roman" w:hAnsi="Times New Roman"/>
          <w:color w:val="000000"/>
          <w:sz w:val="24"/>
        </w:rPr>
        <w:t>Orosházi Kistérség Fejlesztési Programja</w:t>
      </w:r>
      <w:r w:rsidRPr="00363517">
        <w:rPr>
          <w:rFonts w:ascii="Times New Roman" w:hAnsi="Times New Roman"/>
          <w:color w:val="000000"/>
          <w:sz w:val="24"/>
        </w:rPr>
        <w:tab/>
      </w:r>
    </w:p>
    <w:p w:rsidR="00A94468" w:rsidRPr="00363517" w:rsidRDefault="00A94468" w:rsidP="00A94468">
      <w:pPr>
        <w:numPr>
          <w:ilvl w:val="0"/>
          <w:numId w:val="6"/>
        </w:numPr>
        <w:jc w:val="left"/>
        <w:rPr>
          <w:rFonts w:ascii="Times New Roman" w:hAnsi="Times New Roman"/>
          <w:color w:val="000000"/>
          <w:sz w:val="24"/>
        </w:rPr>
      </w:pPr>
      <w:r w:rsidRPr="00363517">
        <w:rPr>
          <w:rFonts w:ascii="Times New Roman" w:hAnsi="Times New Roman"/>
          <w:color w:val="000000"/>
          <w:sz w:val="24"/>
        </w:rPr>
        <w:t>Orosházi Kistérség Turizmusfejlesztési Koncepció és Program</w:t>
      </w:r>
    </w:p>
    <w:p w:rsidR="00A94468" w:rsidRPr="00363517" w:rsidRDefault="00A94468" w:rsidP="00A94468">
      <w:pPr>
        <w:numPr>
          <w:ilvl w:val="0"/>
          <w:numId w:val="6"/>
        </w:numPr>
        <w:jc w:val="left"/>
        <w:rPr>
          <w:rFonts w:ascii="Times New Roman" w:hAnsi="Times New Roman"/>
          <w:color w:val="000000"/>
          <w:sz w:val="24"/>
        </w:rPr>
      </w:pPr>
      <w:r w:rsidRPr="00363517">
        <w:rPr>
          <w:rFonts w:ascii="Times New Roman" w:hAnsi="Times New Roman"/>
          <w:color w:val="000000"/>
          <w:sz w:val="24"/>
        </w:rPr>
        <w:t>Orosházi Kistérség Környezetvédelmi Programja</w:t>
      </w:r>
      <w:r w:rsidRPr="00363517">
        <w:rPr>
          <w:rFonts w:ascii="Times New Roman" w:hAnsi="Times New Roman"/>
          <w:color w:val="000000"/>
          <w:sz w:val="24"/>
        </w:rPr>
        <w:tab/>
      </w:r>
      <w:r w:rsidRPr="00363517">
        <w:rPr>
          <w:rFonts w:ascii="Times New Roman" w:hAnsi="Times New Roman"/>
          <w:color w:val="FF0000"/>
          <w:sz w:val="24"/>
        </w:rPr>
        <w:br/>
      </w:r>
    </w:p>
    <w:p w:rsidR="00A94468" w:rsidRPr="00363517" w:rsidRDefault="00A94468" w:rsidP="00A94468">
      <w:pPr>
        <w:jc w:val="left"/>
        <w:rPr>
          <w:rFonts w:ascii="Times New Roman" w:hAnsi="Times New Roman"/>
          <w:sz w:val="24"/>
        </w:rPr>
      </w:pPr>
    </w:p>
    <w:p w:rsidR="00A94468" w:rsidRPr="00363517" w:rsidRDefault="00A94468" w:rsidP="00A94468">
      <w:pPr>
        <w:jc w:val="left"/>
        <w:rPr>
          <w:rFonts w:ascii="Times New Roman" w:hAnsi="Times New Roman"/>
          <w:sz w:val="24"/>
        </w:rPr>
      </w:pPr>
      <w:r w:rsidRPr="00363517">
        <w:rPr>
          <w:rFonts w:ascii="Times New Roman" w:hAnsi="Times New Roman"/>
          <w:sz w:val="24"/>
        </w:rPr>
        <w:t>Csorvás több önkormányzati társulásnak is tagja, melyek különböző szakterületeken, különböző célok megvalósítására jöttek létre.  Ezek a társulások:</w:t>
      </w:r>
      <w:r w:rsidRPr="00363517">
        <w:rPr>
          <w:rFonts w:ascii="Times New Roman" w:hAnsi="Times New Roman"/>
          <w:sz w:val="24"/>
        </w:rPr>
        <w:tab/>
      </w:r>
    </w:p>
    <w:p w:rsidR="00A94468" w:rsidRPr="00363517" w:rsidRDefault="00A94468" w:rsidP="00A94468">
      <w:pPr>
        <w:jc w:val="left"/>
        <w:rPr>
          <w:rFonts w:ascii="Times New Roman" w:hAnsi="Times New Roman"/>
        </w:rPr>
      </w:pPr>
    </w:p>
    <w:p w:rsidR="00A94468" w:rsidRPr="00690C01" w:rsidRDefault="00A94468" w:rsidP="00A94468">
      <w:pPr>
        <w:numPr>
          <w:ilvl w:val="0"/>
          <w:numId w:val="7"/>
        </w:numPr>
        <w:jc w:val="left"/>
        <w:rPr>
          <w:rFonts w:ascii="Times New Roman" w:hAnsi="Times New Roman"/>
          <w:color w:val="000000"/>
          <w:sz w:val="24"/>
        </w:rPr>
      </w:pPr>
      <w:r w:rsidRPr="00690C01">
        <w:rPr>
          <w:rFonts w:ascii="Times New Roman" w:hAnsi="Times New Roman"/>
          <w:color w:val="000000"/>
          <w:sz w:val="24"/>
        </w:rPr>
        <w:t>Közép-Békési Térség Ivóvíz-minőség Javító Társulás</w:t>
      </w:r>
    </w:p>
    <w:p w:rsidR="00A94468" w:rsidRPr="00363517" w:rsidRDefault="00A94468" w:rsidP="00A94468">
      <w:pPr>
        <w:numPr>
          <w:ilvl w:val="0"/>
          <w:numId w:val="7"/>
        </w:numPr>
        <w:jc w:val="left"/>
        <w:rPr>
          <w:rFonts w:ascii="Times New Roman" w:hAnsi="Times New Roman"/>
          <w:sz w:val="24"/>
        </w:rPr>
      </w:pPr>
      <w:r w:rsidRPr="00363517">
        <w:rPr>
          <w:rFonts w:ascii="Times New Roman" w:hAnsi="Times New Roman"/>
          <w:sz w:val="24"/>
        </w:rPr>
        <w:t>DAREH Délkelet Alföld Regionális Hulladékgazdálkodási Társulás</w:t>
      </w:r>
    </w:p>
    <w:p w:rsidR="00A94468" w:rsidRPr="00363517" w:rsidRDefault="00A94468" w:rsidP="00A94468">
      <w:pPr>
        <w:numPr>
          <w:ilvl w:val="0"/>
          <w:numId w:val="7"/>
        </w:numPr>
        <w:jc w:val="left"/>
        <w:rPr>
          <w:rFonts w:ascii="Times New Roman" w:hAnsi="Times New Roman"/>
          <w:sz w:val="24"/>
        </w:rPr>
      </w:pPr>
      <w:r w:rsidRPr="00363517">
        <w:rPr>
          <w:rFonts w:ascii="Times New Roman" w:hAnsi="Times New Roman"/>
          <w:sz w:val="24"/>
        </w:rPr>
        <w:t>Orosházi Kistérség Többcélú Társulása</w:t>
      </w:r>
      <w:r w:rsidRPr="00363517">
        <w:rPr>
          <w:rFonts w:ascii="Times New Roman" w:hAnsi="Times New Roman"/>
          <w:sz w:val="24"/>
        </w:rPr>
        <w:br/>
      </w:r>
    </w:p>
    <w:p w:rsidR="00A94468" w:rsidRPr="00363517" w:rsidRDefault="00A94468" w:rsidP="00A94468">
      <w:pPr>
        <w:autoSpaceDE w:val="0"/>
        <w:spacing w:after="20"/>
        <w:ind w:firstLine="142"/>
        <w:jc w:val="left"/>
        <w:rPr>
          <w:rFonts w:ascii="Times New Roman" w:hAnsi="Times New Roman"/>
          <w:b/>
          <w:sz w:val="24"/>
        </w:rPr>
      </w:pPr>
      <w:r w:rsidRPr="00363517">
        <w:rPr>
          <w:rFonts w:ascii="Times New Roman" w:hAnsi="Times New Roman"/>
          <w:b/>
          <w:sz w:val="24"/>
        </w:rPr>
        <w:t>2.3 A települési önkormányzat rendelkezésére álló, az esélyegyenlőség szempontjából releváns adatok, kutatások áttekintése, adathiányok kimutatása</w:t>
      </w:r>
    </w:p>
    <w:p w:rsidR="00A94468" w:rsidRPr="00363517" w:rsidRDefault="00A94468" w:rsidP="00A94468">
      <w:pPr>
        <w:rPr>
          <w:rFonts w:ascii="Times New Roman" w:hAnsi="Times New Roman"/>
          <w:sz w:val="24"/>
        </w:rPr>
      </w:pPr>
    </w:p>
    <w:p w:rsidR="00A94468" w:rsidRDefault="00A94468" w:rsidP="00A94468">
      <w:pPr>
        <w:rPr>
          <w:rFonts w:ascii="Times New Roman" w:hAnsi="Times New Roman"/>
          <w:sz w:val="24"/>
        </w:rPr>
      </w:pPr>
      <w:r w:rsidRPr="00363517">
        <w:rPr>
          <w:rFonts w:ascii="Times New Roman" w:hAnsi="Times New Roman"/>
          <w:sz w:val="24"/>
        </w:rPr>
        <w:t xml:space="preserve">A Helyi Esélyegyenlőségi Program </w:t>
      </w:r>
      <w:r>
        <w:rPr>
          <w:rFonts w:ascii="Times New Roman" w:hAnsi="Times New Roman"/>
          <w:sz w:val="24"/>
        </w:rPr>
        <w:t xml:space="preserve">(a továbbiakban: HEP) </w:t>
      </w:r>
      <w:r w:rsidRPr="00363517">
        <w:rPr>
          <w:rFonts w:ascii="Times New Roman" w:hAnsi="Times New Roman"/>
          <w:sz w:val="24"/>
        </w:rPr>
        <w:t>elkészítéshez szükséges adatokat a TEIR, a Központi Statisztikai Hivatal (KSH), Közoktatási Információs Rendszer (KIR) adatbázisából töltöttük le. A helyi adatok az önkormányzat és intézményei nyilvántartásából, valamint a Csorvási Szolgáltató Nonprofit Kft. nyilvántartásából kerültek összegyűjtésre.</w:t>
      </w:r>
      <w:r w:rsidRPr="00363517">
        <w:rPr>
          <w:rFonts w:ascii="Times New Roman" w:hAnsi="Times New Roman"/>
          <w:sz w:val="24"/>
        </w:rPr>
        <w:tab/>
      </w:r>
      <w:r w:rsidRPr="00363517">
        <w:rPr>
          <w:rFonts w:ascii="Times New Roman" w:hAnsi="Times New Roman"/>
          <w:sz w:val="24"/>
        </w:rPr>
        <w:br/>
        <w:t>Segítségünkre voltak a helyi civil szervezetek egyes témákhoz vonatkozó kimutatásai, adatai, felhasználtuk a Csorvás Város Önkormányzatának Képviselő-testületeihez benyújtott előterjesztéseket, beszámolókat, többek között a Békés Megyei Rendőrkapitányság Körzeti Megbízotti Csoport Csorvási Irodájának előterjesztésében szereplő adatokat.</w:t>
      </w:r>
    </w:p>
    <w:p w:rsidR="00A94468" w:rsidRDefault="00A94468" w:rsidP="00A94468">
      <w:pPr>
        <w:rPr>
          <w:rFonts w:ascii="Times New Roman" w:hAnsi="Times New Roman"/>
          <w:sz w:val="24"/>
        </w:rPr>
      </w:pPr>
    </w:p>
    <w:p w:rsidR="00A94468" w:rsidRPr="00597E97" w:rsidRDefault="00A94468" w:rsidP="00A94468">
      <w:pPr>
        <w:rPr>
          <w:rFonts w:ascii="Times New Roman" w:hAnsi="Times New Roman"/>
          <w:sz w:val="24"/>
        </w:rPr>
      </w:pPr>
      <w:r w:rsidRPr="00597E97">
        <w:rPr>
          <w:rFonts w:ascii="Times New Roman" w:hAnsi="Times New Roman"/>
          <w:sz w:val="24"/>
        </w:rPr>
        <w:t>Az állampolgári öngondoskodás, együttműködési készség erősítését szolgálja az a felhatalmazás, amely szerint a képviselő-testület – törvényi felhatalmazás alapján – egyes közszolgáltatások igénybevételét rendeletében feltételekhez kötheti, a feladat-és hatáskörébe tartozó önkormányzati ügyekben – törvény keretei között – önállóan mérlegelhet.</w:t>
      </w:r>
    </w:p>
    <w:p w:rsidR="00A94468" w:rsidRDefault="00A94468" w:rsidP="00A94468">
      <w:pPr>
        <w:rPr>
          <w:rFonts w:ascii="Times New Roman" w:hAnsi="Times New Roman"/>
          <w:sz w:val="24"/>
        </w:rPr>
      </w:pPr>
    </w:p>
    <w:p w:rsidR="00A94468" w:rsidRPr="00C42F44" w:rsidRDefault="00A94468" w:rsidP="00A94468">
      <w:pPr>
        <w:rPr>
          <w:rFonts w:ascii="Times New Roman" w:hAnsi="Times New Roman"/>
          <w:sz w:val="24"/>
        </w:rPr>
      </w:pPr>
      <w:r w:rsidRPr="00C42F44">
        <w:rPr>
          <w:rFonts w:ascii="Times New Roman" w:hAnsi="Times New Roman"/>
          <w:sz w:val="24"/>
        </w:rPr>
        <w:t>A HEP figyelembe veszi Csorvás Város Önkormányzata által hozott rendeleteket, dokumentumokat.</w:t>
      </w:r>
      <w:bookmarkStart w:id="27" w:name="__RefHeading__51_1906745769"/>
      <w:bookmarkStart w:id="28" w:name="__RefHeading__131_1906745769"/>
      <w:bookmarkEnd w:id="27"/>
      <w:bookmarkEnd w:id="28"/>
    </w:p>
    <w:p w:rsidR="00795A46" w:rsidRDefault="00795A46">
      <w:pPr>
        <w:suppressAutoHyphens w:val="0"/>
        <w:spacing w:after="160" w:line="259" w:lineRule="auto"/>
        <w:jc w:val="left"/>
      </w:pPr>
      <w:r>
        <w:br w:type="page"/>
      </w:r>
    </w:p>
    <w:p w:rsidR="00795A46" w:rsidRDefault="00795A46" w:rsidP="00795A46">
      <w:pPr>
        <w:pStyle w:val="Cmsor3"/>
        <w:keepNext w:val="0"/>
        <w:pageBreakBefore/>
        <w:rPr>
          <w:rFonts w:ascii="Times New Roman" w:hAnsi="Times New Roman"/>
          <w:szCs w:val="24"/>
        </w:rPr>
      </w:pPr>
      <w:bookmarkStart w:id="29" w:name="_Toc49500648"/>
      <w:bookmarkStart w:id="30" w:name="_Toc119566837"/>
      <w:r>
        <w:rPr>
          <w:rFonts w:ascii="Times New Roman" w:hAnsi="Times New Roman"/>
        </w:rPr>
        <w:t>3. A mélyszegénységben élők és a romák helyzete, esélyegyenlősége</w:t>
      </w:r>
      <w:bookmarkEnd w:id="29"/>
      <w:bookmarkEnd w:id="30"/>
    </w:p>
    <w:p w:rsidR="00795A46" w:rsidRDefault="00795A46" w:rsidP="00795A46">
      <w:pPr>
        <w:widowControl w:val="0"/>
        <w:tabs>
          <w:tab w:val="left" w:pos="0"/>
        </w:tabs>
        <w:autoSpaceDE w:val="0"/>
        <w:spacing w:after="60"/>
        <w:ind w:firstLine="567"/>
        <w:rPr>
          <w:rFonts w:ascii="Times New Roman" w:hAnsi="Times New Roman"/>
          <w:smallCaps/>
          <w:sz w:val="24"/>
        </w:rPr>
      </w:pPr>
      <w:r>
        <w:rPr>
          <w:rFonts w:ascii="Times New Roman" w:hAnsi="Times New Roman"/>
          <w:sz w:val="24"/>
        </w:rPr>
        <w:t xml:space="preserve">A </w:t>
      </w:r>
      <w:r>
        <w:rPr>
          <w:rStyle w:val="highlight"/>
          <w:rFonts w:ascii="Times New Roman" w:hAnsi="Times New Roman"/>
        </w:rPr>
        <w:t>mélyszegénység n</w:t>
      </w:r>
      <w:r>
        <w:rPr>
          <w:rFonts w:ascii="Times New Roman" w:hAnsi="Times New Roman"/>
          <w:sz w:val="24"/>
        </w:rPr>
        <w:t>em csak tudományos fogalom a szociológiában, de a hétköznapi élet jelensége. Azt jelenti, amikor valaki vagy valakik tartósan a létminimum szintje alatt élnek és szinte esélyük sincs arra, hogy ebből önerőből kilépjenek</w:t>
      </w:r>
      <w:r>
        <w:rPr>
          <w:rFonts w:ascii="Times New Roman" w:hAnsi="Times New Roman"/>
          <w:smallCaps/>
          <w:sz w:val="24"/>
        </w:rPr>
        <w:t>.</w:t>
      </w:r>
    </w:p>
    <w:p w:rsidR="00795A46" w:rsidRDefault="00795A46" w:rsidP="00795A46">
      <w:pPr>
        <w:spacing w:after="60"/>
        <w:ind w:firstLine="567"/>
        <w:rPr>
          <w:rFonts w:ascii="Times New Roman" w:hAnsi="Times New Roman"/>
          <w:sz w:val="24"/>
        </w:rPr>
      </w:pPr>
      <w:r>
        <w:rPr>
          <w:rFonts w:ascii="Times New Roman" w:hAnsi="Times New Roman"/>
          <w:sz w:val="24"/>
        </w:rPr>
        <w:t>A mélyszegénység összetett jelenség, amelynek okai többek között tá</w:t>
      </w:r>
      <w:r>
        <w:rPr>
          <w:rFonts w:ascii="Times New Roman" w:hAnsi="Times New Roman"/>
          <w:spacing w:val="-1"/>
          <w:sz w:val="24"/>
        </w:rPr>
        <w:t>r</w:t>
      </w:r>
      <w:r>
        <w:rPr>
          <w:rFonts w:ascii="Times New Roman" w:hAnsi="Times New Roman"/>
          <w:spacing w:val="2"/>
          <w:sz w:val="24"/>
        </w:rPr>
        <w:t>s</w:t>
      </w:r>
      <w:r>
        <w:rPr>
          <w:rFonts w:ascii="Times New Roman" w:hAnsi="Times New Roman"/>
          <w:spacing w:val="1"/>
          <w:sz w:val="24"/>
        </w:rPr>
        <w:t>a</w:t>
      </w:r>
      <w:r>
        <w:rPr>
          <w:rFonts w:ascii="Times New Roman" w:hAnsi="Times New Roman"/>
          <w:sz w:val="24"/>
        </w:rPr>
        <w:t>d</w:t>
      </w:r>
      <w:r>
        <w:rPr>
          <w:rFonts w:ascii="Times New Roman" w:hAnsi="Times New Roman"/>
          <w:spacing w:val="-1"/>
          <w:sz w:val="24"/>
        </w:rPr>
        <w:t>a</w:t>
      </w:r>
      <w:r>
        <w:rPr>
          <w:rFonts w:ascii="Times New Roman" w:hAnsi="Times New Roman"/>
          <w:sz w:val="24"/>
        </w:rPr>
        <w:t>l</w:t>
      </w:r>
      <w:r>
        <w:rPr>
          <w:rFonts w:ascii="Times New Roman" w:hAnsi="Times New Roman"/>
          <w:spacing w:val="1"/>
          <w:sz w:val="24"/>
        </w:rPr>
        <w:t>m</w:t>
      </w:r>
      <w:r>
        <w:rPr>
          <w:rFonts w:ascii="Times New Roman" w:hAnsi="Times New Roman"/>
          <w:sz w:val="24"/>
        </w:rPr>
        <w:t>i</w:t>
      </w:r>
      <w:r>
        <w:rPr>
          <w:rFonts w:ascii="Times New Roman" w:hAnsi="Times New Roman"/>
          <w:spacing w:val="31"/>
          <w:sz w:val="24"/>
        </w:rPr>
        <w:t xml:space="preserve"> </w:t>
      </w:r>
      <w:r>
        <w:rPr>
          <w:rFonts w:ascii="Times New Roman" w:hAnsi="Times New Roman"/>
          <w:spacing w:val="-1"/>
          <w:sz w:val="24"/>
        </w:rPr>
        <w:t>é</w:t>
      </w:r>
      <w:r>
        <w:rPr>
          <w:rFonts w:ascii="Times New Roman" w:hAnsi="Times New Roman"/>
          <w:sz w:val="24"/>
        </w:rPr>
        <w:t>s</w:t>
      </w:r>
      <w:r>
        <w:rPr>
          <w:rFonts w:ascii="Times New Roman" w:hAnsi="Times New Roman"/>
          <w:spacing w:val="31"/>
          <w:sz w:val="24"/>
        </w:rPr>
        <w:t xml:space="preserve"> </w:t>
      </w:r>
      <w:r>
        <w:rPr>
          <w:rFonts w:ascii="Times New Roman" w:hAnsi="Times New Roman"/>
          <w:sz w:val="24"/>
        </w:rPr>
        <w:t>gazdasági</w:t>
      </w:r>
      <w:r>
        <w:rPr>
          <w:rFonts w:ascii="Times New Roman" w:hAnsi="Times New Roman"/>
          <w:spacing w:val="31"/>
          <w:sz w:val="24"/>
        </w:rPr>
        <w:t xml:space="preserve"> </w:t>
      </w:r>
      <w:r>
        <w:rPr>
          <w:rFonts w:ascii="Times New Roman" w:hAnsi="Times New Roman"/>
          <w:spacing w:val="2"/>
          <w:sz w:val="24"/>
        </w:rPr>
        <w:t>h</w:t>
      </w:r>
      <w:r>
        <w:rPr>
          <w:rFonts w:ascii="Times New Roman" w:hAnsi="Times New Roman"/>
          <w:spacing w:val="-1"/>
          <w:sz w:val="24"/>
        </w:rPr>
        <w:t>á</w:t>
      </w:r>
      <w:r>
        <w:rPr>
          <w:rFonts w:ascii="Times New Roman" w:hAnsi="Times New Roman"/>
          <w:sz w:val="24"/>
        </w:rPr>
        <w:t>tr</w:t>
      </w:r>
      <w:r>
        <w:rPr>
          <w:rFonts w:ascii="Times New Roman" w:hAnsi="Times New Roman"/>
          <w:spacing w:val="1"/>
          <w:sz w:val="24"/>
        </w:rPr>
        <w:t>á</w:t>
      </w:r>
      <w:r>
        <w:rPr>
          <w:rFonts w:ascii="Times New Roman" w:hAnsi="Times New Roman"/>
          <w:spacing w:val="2"/>
          <w:sz w:val="24"/>
        </w:rPr>
        <w:t>n</w:t>
      </w:r>
      <w:r>
        <w:rPr>
          <w:rFonts w:ascii="Times New Roman" w:hAnsi="Times New Roman"/>
          <w:spacing w:val="-5"/>
          <w:sz w:val="24"/>
        </w:rPr>
        <w:t>y</w:t>
      </w:r>
      <w:r>
        <w:rPr>
          <w:rFonts w:ascii="Times New Roman" w:hAnsi="Times New Roman"/>
          <w:sz w:val="24"/>
        </w:rPr>
        <w:t>ok,</w:t>
      </w:r>
      <w:r>
        <w:rPr>
          <w:rFonts w:ascii="Times New Roman" w:hAnsi="Times New Roman"/>
          <w:spacing w:val="33"/>
          <w:sz w:val="24"/>
        </w:rPr>
        <w:t xml:space="preserve"> </w:t>
      </w:r>
      <w:r>
        <w:rPr>
          <w:rFonts w:ascii="Times New Roman" w:hAnsi="Times New Roman"/>
          <w:sz w:val="24"/>
        </w:rPr>
        <w:t>isko</w:t>
      </w:r>
      <w:r>
        <w:rPr>
          <w:rFonts w:ascii="Times New Roman" w:hAnsi="Times New Roman"/>
          <w:spacing w:val="1"/>
          <w:sz w:val="24"/>
        </w:rPr>
        <w:t>l</w:t>
      </w:r>
      <w:r>
        <w:rPr>
          <w:rFonts w:ascii="Times New Roman" w:hAnsi="Times New Roman"/>
          <w:spacing w:val="-1"/>
          <w:sz w:val="24"/>
        </w:rPr>
        <w:t>a</w:t>
      </w:r>
      <w:r>
        <w:rPr>
          <w:rFonts w:ascii="Times New Roman" w:hAnsi="Times New Roman"/>
          <w:sz w:val="24"/>
        </w:rPr>
        <w:t>i, k</w:t>
      </w:r>
      <w:r>
        <w:rPr>
          <w:rFonts w:ascii="Times New Roman" w:hAnsi="Times New Roman"/>
          <w:spacing w:val="-1"/>
          <w:sz w:val="24"/>
        </w:rPr>
        <w:t>é</w:t>
      </w:r>
      <w:r>
        <w:rPr>
          <w:rFonts w:ascii="Times New Roman" w:hAnsi="Times New Roman"/>
          <w:sz w:val="24"/>
        </w:rPr>
        <w:t>p</w:t>
      </w:r>
      <w:r>
        <w:rPr>
          <w:rFonts w:ascii="Times New Roman" w:hAnsi="Times New Roman"/>
          <w:spacing w:val="1"/>
          <w:sz w:val="24"/>
        </w:rPr>
        <w:t>z</w:t>
      </w:r>
      <w:r>
        <w:rPr>
          <w:rFonts w:ascii="Times New Roman" w:hAnsi="Times New Roman"/>
          <w:spacing w:val="-1"/>
          <w:sz w:val="24"/>
        </w:rPr>
        <w:t>e</w:t>
      </w:r>
      <w:r>
        <w:rPr>
          <w:rFonts w:ascii="Times New Roman" w:hAnsi="Times New Roman"/>
          <w:sz w:val="24"/>
        </w:rPr>
        <w:t>t</w:t>
      </w:r>
      <w:r>
        <w:rPr>
          <w:rFonts w:ascii="Times New Roman" w:hAnsi="Times New Roman"/>
          <w:spacing w:val="1"/>
          <w:sz w:val="24"/>
        </w:rPr>
        <w:t>t</w:t>
      </w:r>
      <w:r>
        <w:rPr>
          <w:rFonts w:ascii="Times New Roman" w:hAnsi="Times New Roman"/>
          <w:sz w:val="24"/>
        </w:rPr>
        <w:t>s</w:t>
      </w:r>
      <w:r>
        <w:rPr>
          <w:rFonts w:ascii="Times New Roman" w:hAnsi="Times New Roman"/>
          <w:spacing w:val="-1"/>
          <w:sz w:val="24"/>
        </w:rPr>
        <w:t>é</w:t>
      </w:r>
      <w:r>
        <w:rPr>
          <w:rFonts w:ascii="Times New Roman" w:hAnsi="Times New Roman"/>
          <w:spacing w:val="-2"/>
          <w:sz w:val="24"/>
        </w:rPr>
        <w:t>g</w:t>
      </w:r>
      <w:r>
        <w:rPr>
          <w:rFonts w:ascii="Times New Roman" w:hAnsi="Times New Roman"/>
          <w:sz w:val="24"/>
        </w:rPr>
        <w:t>b</w:t>
      </w:r>
      <w:r>
        <w:rPr>
          <w:rFonts w:ascii="Times New Roman" w:hAnsi="Times New Roman"/>
          <w:spacing w:val="-1"/>
          <w:sz w:val="24"/>
        </w:rPr>
        <w:t>e</w:t>
      </w:r>
      <w:r>
        <w:rPr>
          <w:rFonts w:ascii="Times New Roman" w:hAnsi="Times New Roman"/>
          <w:sz w:val="24"/>
        </w:rPr>
        <w:t>l</w:t>
      </w:r>
      <w:r>
        <w:rPr>
          <w:rFonts w:ascii="Times New Roman" w:hAnsi="Times New Roman"/>
          <w:spacing w:val="1"/>
          <w:sz w:val="24"/>
        </w:rPr>
        <w:t>i</w:t>
      </w:r>
      <w:r>
        <w:rPr>
          <w:rFonts w:ascii="Times New Roman" w:hAnsi="Times New Roman"/>
          <w:sz w:val="24"/>
        </w:rPr>
        <w:t xml:space="preserve"> és foglalkoztatottságbeli deficitekben mutatkoznak meg, és súlyos megélhetési zavarokhoz vezetnek. A szegénység kialakulásának okai többek közt a rendszerváltást követően a munkahelyek megszűnésére, a munkanélküliségre, a munkaerő-piaci esélyek szűkülésére, a jóléti ellátások által kezelni nem tudott egyéni, családi válsághelyzetekre, a megfelelő ellátásokhoz, szolgáltatásokhoz történő hozzáférés hiányosságaira vezethetők vissza. A mélyszegénység hatása az alapvető létfeltételekben, a lakhatási, táplálkozási körülményekben, az érintettek egészségi állapotában is jelentkezik. A szeg</w:t>
      </w:r>
      <w:r>
        <w:rPr>
          <w:rFonts w:ascii="Times New Roman" w:hAnsi="Times New Roman"/>
          <w:spacing w:val="-1"/>
          <w:sz w:val="24"/>
        </w:rPr>
        <w:t>é</w:t>
      </w:r>
      <w:r>
        <w:rPr>
          <w:rFonts w:ascii="Times New Roman" w:hAnsi="Times New Roman"/>
          <w:spacing w:val="1"/>
          <w:sz w:val="24"/>
        </w:rPr>
        <w:t>n</w:t>
      </w:r>
      <w:r>
        <w:rPr>
          <w:rFonts w:ascii="Times New Roman" w:hAnsi="Times New Roman"/>
          <w:spacing w:val="-1"/>
          <w:sz w:val="24"/>
        </w:rPr>
        <w:t>y</w:t>
      </w:r>
      <w:r>
        <w:rPr>
          <w:rFonts w:ascii="Times New Roman" w:hAnsi="Times New Roman"/>
          <w:sz w:val="24"/>
        </w:rPr>
        <w:t>s</w:t>
      </w:r>
      <w:r>
        <w:rPr>
          <w:rFonts w:ascii="Times New Roman" w:hAnsi="Times New Roman"/>
          <w:spacing w:val="-1"/>
          <w:sz w:val="24"/>
        </w:rPr>
        <w:t>é</w:t>
      </w:r>
      <w:r>
        <w:rPr>
          <w:rFonts w:ascii="Times New Roman" w:hAnsi="Times New Roman"/>
          <w:sz w:val="24"/>
        </w:rPr>
        <w:t>g</w:t>
      </w:r>
      <w:r>
        <w:rPr>
          <w:rFonts w:ascii="Times New Roman" w:hAnsi="Times New Roman"/>
          <w:spacing w:val="14"/>
          <w:sz w:val="24"/>
        </w:rPr>
        <w:t xml:space="preserve"> </w:t>
      </w:r>
      <w:r>
        <w:rPr>
          <w:rFonts w:ascii="Times New Roman" w:hAnsi="Times New Roman"/>
          <w:sz w:val="24"/>
        </w:rPr>
        <w:t>sze</w:t>
      </w:r>
      <w:r>
        <w:rPr>
          <w:rFonts w:ascii="Times New Roman" w:hAnsi="Times New Roman"/>
          <w:spacing w:val="2"/>
          <w:sz w:val="24"/>
        </w:rPr>
        <w:t>m</w:t>
      </w:r>
      <w:r>
        <w:rPr>
          <w:rFonts w:ascii="Times New Roman" w:hAnsi="Times New Roman"/>
          <w:sz w:val="24"/>
        </w:rPr>
        <w:t>po</w:t>
      </w:r>
      <w:r>
        <w:rPr>
          <w:rFonts w:ascii="Times New Roman" w:hAnsi="Times New Roman"/>
          <w:spacing w:val="1"/>
          <w:sz w:val="24"/>
        </w:rPr>
        <w:t>n</w:t>
      </w:r>
      <w:r>
        <w:rPr>
          <w:rFonts w:ascii="Times New Roman" w:hAnsi="Times New Roman"/>
          <w:sz w:val="24"/>
        </w:rPr>
        <w:t>t</w:t>
      </w:r>
      <w:r>
        <w:rPr>
          <w:rFonts w:ascii="Times New Roman" w:hAnsi="Times New Roman"/>
          <w:spacing w:val="1"/>
          <w:sz w:val="24"/>
        </w:rPr>
        <w:t>j</w:t>
      </w:r>
      <w:r>
        <w:rPr>
          <w:rFonts w:ascii="Times New Roman" w:hAnsi="Times New Roman"/>
          <w:sz w:val="24"/>
        </w:rPr>
        <w:t>ából</w:t>
      </w:r>
      <w:r>
        <w:rPr>
          <w:rFonts w:ascii="Times New Roman" w:hAnsi="Times New Roman"/>
          <w:spacing w:val="15"/>
          <w:sz w:val="24"/>
        </w:rPr>
        <w:t xml:space="preserve"> </w:t>
      </w:r>
      <w:r>
        <w:rPr>
          <w:rFonts w:ascii="Times New Roman" w:hAnsi="Times New Roman"/>
          <w:spacing w:val="3"/>
          <w:sz w:val="24"/>
        </w:rPr>
        <w:t>m</w:t>
      </w:r>
      <w:r>
        <w:rPr>
          <w:rFonts w:ascii="Times New Roman" w:hAnsi="Times New Roman"/>
          <w:spacing w:val="-1"/>
          <w:sz w:val="24"/>
        </w:rPr>
        <w:t>e</w:t>
      </w:r>
      <w:r>
        <w:rPr>
          <w:rFonts w:ascii="Times New Roman" w:hAnsi="Times New Roman"/>
          <w:sz w:val="24"/>
        </w:rPr>
        <w:t>g</w:t>
      </w:r>
      <w:r>
        <w:rPr>
          <w:rFonts w:ascii="Times New Roman" w:hAnsi="Times New Roman"/>
          <w:spacing w:val="1"/>
          <w:sz w:val="24"/>
        </w:rPr>
        <w:t>h</w:t>
      </w:r>
      <w:r>
        <w:rPr>
          <w:rFonts w:ascii="Times New Roman" w:hAnsi="Times New Roman"/>
          <w:sz w:val="24"/>
        </w:rPr>
        <w:t>atározó tár</w:t>
      </w:r>
      <w:r>
        <w:rPr>
          <w:rFonts w:ascii="Times New Roman" w:hAnsi="Times New Roman"/>
          <w:spacing w:val="1"/>
          <w:sz w:val="24"/>
        </w:rPr>
        <w:t>s</w:t>
      </w:r>
      <w:r>
        <w:rPr>
          <w:rFonts w:ascii="Times New Roman" w:hAnsi="Times New Roman"/>
          <w:sz w:val="24"/>
        </w:rPr>
        <w:t>ada</w:t>
      </w:r>
      <w:r>
        <w:rPr>
          <w:rFonts w:ascii="Times New Roman" w:hAnsi="Times New Roman"/>
          <w:spacing w:val="-2"/>
          <w:sz w:val="24"/>
        </w:rPr>
        <w:t>l</w:t>
      </w:r>
      <w:r>
        <w:rPr>
          <w:rFonts w:ascii="Times New Roman" w:hAnsi="Times New Roman"/>
          <w:spacing w:val="3"/>
          <w:sz w:val="24"/>
        </w:rPr>
        <w:t>m</w:t>
      </w:r>
      <w:r>
        <w:rPr>
          <w:rFonts w:ascii="Times New Roman" w:hAnsi="Times New Roman"/>
          <w:sz w:val="24"/>
        </w:rPr>
        <w:t xml:space="preserve">i </w:t>
      </w:r>
      <w:r>
        <w:rPr>
          <w:rFonts w:ascii="Times New Roman" w:hAnsi="Times New Roman"/>
          <w:spacing w:val="1"/>
          <w:sz w:val="24"/>
        </w:rPr>
        <w:t>j</w:t>
      </w:r>
      <w:r>
        <w:rPr>
          <w:rFonts w:ascii="Times New Roman" w:hAnsi="Times New Roman"/>
          <w:spacing w:val="-1"/>
          <w:sz w:val="24"/>
        </w:rPr>
        <w:t>e</w:t>
      </w:r>
      <w:r>
        <w:rPr>
          <w:rFonts w:ascii="Times New Roman" w:hAnsi="Times New Roman"/>
          <w:sz w:val="24"/>
        </w:rPr>
        <w:t>l</w:t>
      </w:r>
      <w:r>
        <w:rPr>
          <w:rFonts w:ascii="Times New Roman" w:hAnsi="Times New Roman"/>
          <w:spacing w:val="1"/>
          <w:sz w:val="24"/>
        </w:rPr>
        <w:t>l</w:t>
      </w:r>
      <w:r>
        <w:rPr>
          <w:rFonts w:ascii="Times New Roman" w:hAnsi="Times New Roman"/>
          <w:spacing w:val="-3"/>
          <w:sz w:val="24"/>
        </w:rPr>
        <w:t>e</w:t>
      </w:r>
      <w:r>
        <w:rPr>
          <w:rFonts w:ascii="Times New Roman" w:hAnsi="Times New Roman"/>
          <w:spacing w:val="3"/>
          <w:sz w:val="24"/>
        </w:rPr>
        <w:t>m</w:t>
      </w:r>
      <w:r>
        <w:rPr>
          <w:rFonts w:ascii="Times New Roman" w:hAnsi="Times New Roman"/>
          <w:sz w:val="24"/>
        </w:rPr>
        <w:t xml:space="preserve">ző a </w:t>
      </w:r>
      <w:r>
        <w:rPr>
          <w:rFonts w:ascii="Times New Roman" w:hAnsi="Times New Roman"/>
          <w:spacing w:val="-1"/>
          <w:sz w:val="24"/>
        </w:rPr>
        <w:t>c</w:t>
      </w:r>
      <w:r>
        <w:rPr>
          <w:rFonts w:ascii="Times New Roman" w:hAnsi="Times New Roman"/>
          <w:sz w:val="24"/>
        </w:rPr>
        <w:t>salá</w:t>
      </w:r>
      <w:r>
        <w:rPr>
          <w:rFonts w:ascii="Times New Roman" w:hAnsi="Times New Roman"/>
          <w:spacing w:val="1"/>
          <w:sz w:val="24"/>
        </w:rPr>
        <w:t>d</w:t>
      </w:r>
      <w:r>
        <w:rPr>
          <w:rFonts w:ascii="Times New Roman" w:hAnsi="Times New Roman"/>
          <w:sz w:val="24"/>
        </w:rPr>
        <w:t>ok</w:t>
      </w:r>
      <w:r>
        <w:rPr>
          <w:rFonts w:ascii="Times New Roman" w:hAnsi="Times New Roman"/>
          <w:spacing w:val="1"/>
          <w:sz w:val="24"/>
        </w:rPr>
        <w:t xml:space="preserve"> </w:t>
      </w:r>
      <w:r>
        <w:rPr>
          <w:rFonts w:ascii="Times New Roman" w:hAnsi="Times New Roman"/>
          <w:sz w:val="24"/>
        </w:rPr>
        <w:t>gy</w:t>
      </w:r>
      <w:r>
        <w:rPr>
          <w:rFonts w:ascii="Times New Roman" w:hAnsi="Times New Roman"/>
          <w:spacing w:val="-1"/>
          <w:sz w:val="24"/>
        </w:rPr>
        <w:t>e</w:t>
      </w:r>
      <w:r>
        <w:rPr>
          <w:rFonts w:ascii="Times New Roman" w:hAnsi="Times New Roman"/>
          <w:spacing w:val="1"/>
          <w:sz w:val="24"/>
        </w:rPr>
        <w:t>r</w:t>
      </w:r>
      <w:r>
        <w:rPr>
          <w:rFonts w:ascii="Times New Roman" w:hAnsi="Times New Roman"/>
          <w:spacing w:val="-1"/>
          <w:sz w:val="24"/>
        </w:rPr>
        <w:t>me</w:t>
      </w:r>
      <w:r>
        <w:rPr>
          <w:rFonts w:ascii="Times New Roman" w:hAnsi="Times New Roman"/>
          <w:spacing w:val="1"/>
          <w:sz w:val="24"/>
        </w:rPr>
        <w:t>k</w:t>
      </w:r>
      <w:r>
        <w:rPr>
          <w:rFonts w:ascii="Times New Roman" w:hAnsi="Times New Roman"/>
          <w:sz w:val="24"/>
        </w:rPr>
        <w:t>s</w:t>
      </w:r>
      <w:r>
        <w:rPr>
          <w:rFonts w:ascii="Times New Roman" w:hAnsi="Times New Roman"/>
          <w:spacing w:val="1"/>
          <w:sz w:val="24"/>
        </w:rPr>
        <w:t>z</w:t>
      </w:r>
      <w:r>
        <w:rPr>
          <w:rFonts w:ascii="Times New Roman" w:hAnsi="Times New Roman"/>
          <w:sz w:val="24"/>
        </w:rPr>
        <w:t>á</w:t>
      </w:r>
      <w:r>
        <w:rPr>
          <w:rFonts w:ascii="Times New Roman" w:hAnsi="Times New Roman"/>
          <w:spacing w:val="-3"/>
          <w:sz w:val="24"/>
        </w:rPr>
        <w:t>m</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i</w:t>
      </w:r>
      <w:r>
        <w:rPr>
          <w:rFonts w:ascii="Times New Roman" w:hAnsi="Times New Roman"/>
          <w:spacing w:val="1"/>
          <w:sz w:val="24"/>
        </w:rPr>
        <w:t>l</w:t>
      </w:r>
      <w:r>
        <w:rPr>
          <w:rFonts w:ascii="Times New Roman" w:hAnsi="Times New Roman"/>
          <w:sz w:val="24"/>
        </w:rPr>
        <w:t>le</w:t>
      </w:r>
      <w:r>
        <w:rPr>
          <w:rFonts w:ascii="Times New Roman" w:hAnsi="Times New Roman"/>
          <w:spacing w:val="-1"/>
          <w:sz w:val="24"/>
        </w:rPr>
        <w:t>t</w:t>
      </w:r>
      <w:r>
        <w:rPr>
          <w:rFonts w:ascii="Times New Roman" w:hAnsi="Times New Roman"/>
          <w:sz w:val="24"/>
        </w:rPr>
        <w:t>ve</w:t>
      </w:r>
      <w:r>
        <w:rPr>
          <w:rFonts w:ascii="Times New Roman" w:hAnsi="Times New Roman"/>
          <w:spacing w:val="4"/>
          <w:sz w:val="24"/>
        </w:rPr>
        <w:t xml:space="preserve"> </w:t>
      </w:r>
      <w:r>
        <w:rPr>
          <w:rFonts w:ascii="Times New Roman" w:hAnsi="Times New Roman"/>
          <w:sz w:val="24"/>
        </w:rPr>
        <w:t>a gy</w:t>
      </w:r>
      <w:r>
        <w:rPr>
          <w:rFonts w:ascii="Times New Roman" w:hAnsi="Times New Roman"/>
          <w:spacing w:val="1"/>
          <w:sz w:val="24"/>
        </w:rPr>
        <w:t>er</w:t>
      </w:r>
      <w:r>
        <w:rPr>
          <w:rFonts w:ascii="Times New Roman" w:hAnsi="Times New Roman"/>
          <w:spacing w:val="-3"/>
          <w:sz w:val="24"/>
        </w:rPr>
        <w:t>m</w:t>
      </w:r>
      <w:r>
        <w:rPr>
          <w:rFonts w:ascii="Times New Roman" w:hAnsi="Times New Roman"/>
          <w:spacing w:val="-1"/>
          <w:sz w:val="24"/>
        </w:rPr>
        <w:t>e</w:t>
      </w:r>
      <w:r>
        <w:rPr>
          <w:rFonts w:ascii="Times New Roman" w:hAnsi="Times New Roman"/>
          <w:spacing w:val="1"/>
          <w:sz w:val="24"/>
        </w:rPr>
        <w:t>k</w:t>
      </w:r>
      <w:r>
        <w:rPr>
          <w:rFonts w:ascii="Times New Roman" w:hAnsi="Times New Roman"/>
          <w:spacing w:val="2"/>
          <w:sz w:val="24"/>
        </w:rPr>
        <w:t>s</w:t>
      </w:r>
      <w:r>
        <w:rPr>
          <w:rFonts w:ascii="Times New Roman" w:hAnsi="Times New Roman"/>
          <w:spacing w:val="-1"/>
          <w:sz w:val="24"/>
        </w:rPr>
        <w:t>ze</w:t>
      </w:r>
      <w:r>
        <w:rPr>
          <w:rFonts w:ascii="Times New Roman" w:hAnsi="Times New Roman"/>
          <w:sz w:val="24"/>
        </w:rPr>
        <w:t>g</w:t>
      </w:r>
      <w:r>
        <w:rPr>
          <w:rFonts w:ascii="Times New Roman" w:hAnsi="Times New Roman"/>
          <w:spacing w:val="-1"/>
          <w:sz w:val="24"/>
        </w:rPr>
        <w:t>é</w:t>
      </w:r>
      <w:r>
        <w:rPr>
          <w:rFonts w:ascii="Times New Roman" w:hAnsi="Times New Roman"/>
          <w:spacing w:val="1"/>
          <w:sz w:val="24"/>
        </w:rPr>
        <w:t>n</w:t>
      </w:r>
      <w:r>
        <w:rPr>
          <w:rFonts w:ascii="Times New Roman" w:hAnsi="Times New Roman"/>
          <w:sz w:val="24"/>
        </w:rPr>
        <w:t>ység, valamint a falusi la</w:t>
      </w:r>
      <w:r>
        <w:rPr>
          <w:rFonts w:ascii="Times New Roman" w:hAnsi="Times New Roman"/>
          <w:spacing w:val="1"/>
          <w:sz w:val="24"/>
        </w:rPr>
        <w:t>k</w:t>
      </w:r>
      <w:r>
        <w:rPr>
          <w:rFonts w:ascii="Times New Roman" w:hAnsi="Times New Roman"/>
          <w:sz w:val="24"/>
        </w:rPr>
        <w:t>ó</w:t>
      </w:r>
      <w:r>
        <w:rPr>
          <w:rFonts w:ascii="Times New Roman" w:hAnsi="Times New Roman"/>
          <w:spacing w:val="1"/>
          <w:sz w:val="24"/>
        </w:rPr>
        <w:t>k</w:t>
      </w:r>
      <w:r>
        <w:rPr>
          <w:rFonts w:ascii="Times New Roman" w:hAnsi="Times New Roman"/>
          <w:sz w:val="24"/>
        </w:rPr>
        <w:t>ö</w:t>
      </w:r>
      <w:r>
        <w:rPr>
          <w:rFonts w:ascii="Times New Roman" w:hAnsi="Times New Roman"/>
          <w:spacing w:val="-1"/>
          <w:sz w:val="24"/>
        </w:rPr>
        <w:t>r</w:t>
      </w:r>
      <w:r>
        <w:rPr>
          <w:rFonts w:ascii="Times New Roman" w:hAnsi="Times New Roman"/>
          <w:spacing w:val="1"/>
          <w:sz w:val="24"/>
        </w:rPr>
        <w:t>n</w:t>
      </w:r>
      <w:r>
        <w:rPr>
          <w:rFonts w:ascii="Times New Roman" w:hAnsi="Times New Roman"/>
          <w:sz w:val="24"/>
        </w:rPr>
        <w:t>y</w:t>
      </w:r>
      <w:r>
        <w:rPr>
          <w:rFonts w:ascii="Times New Roman" w:hAnsi="Times New Roman"/>
          <w:spacing w:val="-1"/>
          <w:sz w:val="24"/>
        </w:rPr>
        <w:t>eze</w:t>
      </w:r>
      <w:r>
        <w:rPr>
          <w:rFonts w:ascii="Times New Roman" w:hAnsi="Times New Roman"/>
          <w:sz w:val="24"/>
        </w:rPr>
        <w:t xml:space="preserve">t. Ez az állapot az érintetteket nagyon gyorsan megbélyegzi és a társadalomból való kirekesztettségüket okozza. </w:t>
      </w:r>
    </w:p>
    <w:p w:rsidR="00795A46" w:rsidRDefault="00795A46" w:rsidP="00795A46">
      <w:pPr>
        <w:widowControl w:val="0"/>
        <w:autoSpaceDE w:val="0"/>
        <w:spacing w:after="60"/>
        <w:ind w:firstLine="567"/>
        <w:rPr>
          <w:rFonts w:ascii="Times New Roman" w:hAnsi="Times New Roman"/>
          <w:spacing w:val="31"/>
          <w:sz w:val="24"/>
        </w:rPr>
      </w:pPr>
      <w:r>
        <w:rPr>
          <w:rFonts w:ascii="Times New Roman" w:hAnsi="Times New Roman"/>
          <w:sz w:val="24"/>
        </w:rPr>
        <w:t>A</w:t>
      </w:r>
      <w:r>
        <w:rPr>
          <w:rFonts w:ascii="Times New Roman" w:hAnsi="Times New Roman"/>
          <w:spacing w:val="8"/>
          <w:sz w:val="24"/>
        </w:rPr>
        <w:t xml:space="preserve"> </w:t>
      </w:r>
      <w:r>
        <w:rPr>
          <w:rFonts w:ascii="Times New Roman" w:hAnsi="Times New Roman"/>
          <w:sz w:val="24"/>
        </w:rPr>
        <w:t>t</w:t>
      </w:r>
      <w:r>
        <w:rPr>
          <w:rFonts w:ascii="Times New Roman" w:hAnsi="Times New Roman"/>
          <w:spacing w:val="2"/>
          <w:sz w:val="24"/>
        </w:rPr>
        <w:t>á</w:t>
      </w:r>
      <w:r>
        <w:rPr>
          <w:rFonts w:ascii="Times New Roman" w:hAnsi="Times New Roman"/>
          <w:sz w:val="24"/>
        </w:rPr>
        <w:t>rs</w:t>
      </w:r>
      <w:r>
        <w:rPr>
          <w:rFonts w:ascii="Times New Roman" w:hAnsi="Times New Roman"/>
          <w:spacing w:val="-1"/>
          <w:sz w:val="24"/>
        </w:rPr>
        <w:t>a</w:t>
      </w:r>
      <w:r>
        <w:rPr>
          <w:rFonts w:ascii="Times New Roman" w:hAnsi="Times New Roman"/>
          <w:sz w:val="24"/>
        </w:rPr>
        <w:t>d</w:t>
      </w:r>
      <w:r>
        <w:rPr>
          <w:rFonts w:ascii="Times New Roman" w:hAnsi="Times New Roman"/>
          <w:spacing w:val="-1"/>
          <w:sz w:val="24"/>
        </w:rPr>
        <w:t>a</w:t>
      </w:r>
      <w:r>
        <w:rPr>
          <w:rFonts w:ascii="Times New Roman" w:hAnsi="Times New Roman"/>
          <w:sz w:val="24"/>
        </w:rPr>
        <w:t>l</w:t>
      </w:r>
      <w:r>
        <w:rPr>
          <w:rFonts w:ascii="Times New Roman" w:hAnsi="Times New Roman"/>
          <w:spacing w:val="1"/>
          <w:sz w:val="24"/>
        </w:rPr>
        <w:t>m</w:t>
      </w:r>
      <w:r>
        <w:rPr>
          <w:rFonts w:ascii="Times New Roman" w:hAnsi="Times New Roman"/>
          <w:sz w:val="24"/>
        </w:rPr>
        <w:t>i</w:t>
      </w:r>
      <w:r>
        <w:rPr>
          <w:rFonts w:ascii="Times New Roman" w:hAnsi="Times New Roman"/>
          <w:spacing w:val="24"/>
          <w:sz w:val="24"/>
        </w:rPr>
        <w:t xml:space="preserve"> </w:t>
      </w:r>
      <w:r>
        <w:rPr>
          <w:rFonts w:ascii="Times New Roman" w:hAnsi="Times New Roman"/>
          <w:sz w:val="24"/>
        </w:rPr>
        <w:t>les</w:t>
      </w:r>
      <w:r>
        <w:rPr>
          <w:rFonts w:ascii="Times New Roman" w:hAnsi="Times New Roman"/>
          <w:spacing w:val="1"/>
          <w:sz w:val="24"/>
        </w:rPr>
        <w:t>z</w:t>
      </w:r>
      <w:r>
        <w:rPr>
          <w:rFonts w:ascii="Times New Roman" w:hAnsi="Times New Roman"/>
          <w:spacing w:val="-1"/>
          <w:sz w:val="24"/>
        </w:rPr>
        <w:t>a</w:t>
      </w:r>
      <w:r>
        <w:rPr>
          <w:rFonts w:ascii="Times New Roman" w:hAnsi="Times New Roman"/>
          <w:sz w:val="24"/>
        </w:rPr>
        <w:t>k</w:t>
      </w:r>
      <w:r>
        <w:rPr>
          <w:rFonts w:ascii="Times New Roman" w:hAnsi="Times New Roman"/>
          <w:spacing w:val="-1"/>
          <w:sz w:val="24"/>
        </w:rPr>
        <w:t>a</w:t>
      </w:r>
      <w:r>
        <w:rPr>
          <w:rFonts w:ascii="Times New Roman" w:hAnsi="Times New Roman"/>
          <w:spacing w:val="2"/>
          <w:sz w:val="24"/>
        </w:rPr>
        <w:t>d</w:t>
      </w:r>
      <w:r>
        <w:rPr>
          <w:rFonts w:ascii="Times New Roman" w:hAnsi="Times New Roman"/>
          <w:spacing w:val="-1"/>
          <w:sz w:val="24"/>
        </w:rPr>
        <w:t>á</w:t>
      </w:r>
      <w:r>
        <w:rPr>
          <w:rFonts w:ascii="Times New Roman" w:hAnsi="Times New Roman"/>
          <w:sz w:val="24"/>
        </w:rPr>
        <w:t>s</w:t>
      </w:r>
      <w:r>
        <w:rPr>
          <w:rFonts w:ascii="Times New Roman" w:hAnsi="Times New Roman"/>
          <w:spacing w:val="26"/>
          <w:sz w:val="24"/>
        </w:rPr>
        <w:t xml:space="preserve"> </w:t>
      </w:r>
      <w:r>
        <w:rPr>
          <w:rFonts w:ascii="Times New Roman" w:hAnsi="Times New Roman"/>
          <w:sz w:val="24"/>
        </w:rPr>
        <w:t>m</w:t>
      </w:r>
      <w:r>
        <w:rPr>
          <w:rFonts w:ascii="Times New Roman" w:hAnsi="Times New Roman"/>
          <w:spacing w:val="2"/>
          <w:sz w:val="24"/>
        </w:rPr>
        <w:t>e</w:t>
      </w:r>
      <w:r>
        <w:rPr>
          <w:rFonts w:ascii="Times New Roman" w:hAnsi="Times New Roman"/>
          <w:spacing w:val="-2"/>
          <w:sz w:val="24"/>
        </w:rPr>
        <w:t>g</w:t>
      </w:r>
      <w:r>
        <w:rPr>
          <w:rFonts w:ascii="Times New Roman" w:hAnsi="Times New Roman"/>
          <w:sz w:val="24"/>
        </w:rPr>
        <w:t>h</w:t>
      </w:r>
      <w:r>
        <w:rPr>
          <w:rFonts w:ascii="Times New Roman" w:hAnsi="Times New Roman"/>
          <w:spacing w:val="-1"/>
          <w:sz w:val="24"/>
        </w:rPr>
        <w:t>a</w:t>
      </w:r>
      <w:r>
        <w:rPr>
          <w:rFonts w:ascii="Times New Roman" w:hAnsi="Times New Roman"/>
          <w:sz w:val="24"/>
        </w:rPr>
        <w:t>tá</w:t>
      </w:r>
      <w:r>
        <w:rPr>
          <w:rFonts w:ascii="Times New Roman" w:hAnsi="Times New Roman"/>
          <w:spacing w:val="-1"/>
          <w:sz w:val="24"/>
        </w:rPr>
        <w:t>r</w:t>
      </w:r>
      <w:r>
        <w:rPr>
          <w:rFonts w:ascii="Times New Roman" w:hAnsi="Times New Roman"/>
          <w:sz w:val="24"/>
        </w:rPr>
        <w:t>o</w:t>
      </w:r>
      <w:r>
        <w:rPr>
          <w:rFonts w:ascii="Times New Roman" w:hAnsi="Times New Roman"/>
          <w:spacing w:val="1"/>
          <w:sz w:val="24"/>
        </w:rPr>
        <w:t>z</w:t>
      </w:r>
      <w:r>
        <w:rPr>
          <w:rFonts w:ascii="Times New Roman" w:hAnsi="Times New Roman"/>
          <w:sz w:val="24"/>
        </w:rPr>
        <w:t>ó</w:t>
      </w:r>
      <w:r>
        <w:rPr>
          <w:rFonts w:ascii="Times New Roman" w:hAnsi="Times New Roman"/>
          <w:spacing w:val="26"/>
          <w:sz w:val="24"/>
        </w:rPr>
        <w:t xml:space="preserve"> </w:t>
      </w:r>
      <w:r>
        <w:rPr>
          <w:rFonts w:ascii="Times New Roman" w:hAnsi="Times New Roman"/>
          <w:sz w:val="24"/>
        </w:rPr>
        <w:t>r</w:t>
      </w:r>
      <w:r>
        <w:rPr>
          <w:rFonts w:ascii="Times New Roman" w:hAnsi="Times New Roman"/>
          <w:spacing w:val="-2"/>
          <w:sz w:val="24"/>
        </w:rPr>
        <w:t>é</w:t>
      </w:r>
      <w:r>
        <w:rPr>
          <w:rFonts w:ascii="Times New Roman" w:hAnsi="Times New Roman"/>
          <w:sz w:val="24"/>
        </w:rPr>
        <w:t>s</w:t>
      </w:r>
      <w:r>
        <w:rPr>
          <w:rFonts w:ascii="Times New Roman" w:hAnsi="Times New Roman"/>
          <w:spacing w:val="1"/>
          <w:sz w:val="24"/>
        </w:rPr>
        <w:t>z</w:t>
      </w:r>
      <w:r>
        <w:rPr>
          <w:rFonts w:ascii="Times New Roman" w:hAnsi="Times New Roman"/>
          <w:sz w:val="24"/>
        </w:rPr>
        <w:t>b</w:t>
      </w:r>
      <w:r>
        <w:rPr>
          <w:rFonts w:ascii="Times New Roman" w:hAnsi="Times New Roman"/>
          <w:spacing w:val="-1"/>
          <w:sz w:val="24"/>
        </w:rPr>
        <w:t>e</w:t>
      </w:r>
      <w:r>
        <w:rPr>
          <w:rFonts w:ascii="Times New Roman" w:hAnsi="Times New Roman"/>
          <w:sz w:val="24"/>
        </w:rPr>
        <w:t>n</w:t>
      </w:r>
      <w:r>
        <w:rPr>
          <w:rFonts w:ascii="Times New Roman" w:hAnsi="Times New Roman"/>
          <w:spacing w:val="23"/>
          <w:sz w:val="24"/>
        </w:rPr>
        <w:t xml:space="preserve"> </w:t>
      </w:r>
      <w:r>
        <w:rPr>
          <w:rFonts w:ascii="Times New Roman" w:hAnsi="Times New Roman"/>
          <w:sz w:val="24"/>
        </w:rPr>
        <w:t>tehát</w:t>
      </w:r>
      <w:r>
        <w:rPr>
          <w:rFonts w:ascii="Times New Roman" w:hAnsi="Times New Roman"/>
          <w:spacing w:val="23"/>
          <w:sz w:val="24"/>
        </w:rPr>
        <w:t xml:space="preserve"> </w:t>
      </w:r>
      <w:r>
        <w:rPr>
          <w:rFonts w:ascii="Times New Roman" w:hAnsi="Times New Roman"/>
          <w:sz w:val="24"/>
        </w:rPr>
        <w:t>a</w:t>
      </w:r>
      <w:r>
        <w:rPr>
          <w:rFonts w:ascii="Times New Roman" w:hAnsi="Times New Roman"/>
          <w:spacing w:val="25"/>
          <w:sz w:val="24"/>
        </w:rPr>
        <w:t xml:space="preserve"> </w:t>
      </w:r>
      <w:r>
        <w:rPr>
          <w:rFonts w:ascii="Times New Roman" w:hAnsi="Times New Roman"/>
          <w:sz w:val="24"/>
        </w:rPr>
        <w:t>s</w:t>
      </w:r>
      <w:r>
        <w:rPr>
          <w:rFonts w:ascii="Times New Roman" w:hAnsi="Times New Roman"/>
          <w:spacing w:val="1"/>
          <w:sz w:val="24"/>
        </w:rPr>
        <w:t>z</w:t>
      </w:r>
      <w:r>
        <w:rPr>
          <w:rFonts w:ascii="Times New Roman" w:hAnsi="Times New Roman"/>
          <w:spacing w:val="-1"/>
          <w:sz w:val="24"/>
        </w:rPr>
        <w:t>e</w:t>
      </w:r>
      <w:r>
        <w:rPr>
          <w:rFonts w:ascii="Times New Roman" w:hAnsi="Times New Roman"/>
          <w:spacing w:val="-2"/>
          <w:sz w:val="24"/>
        </w:rPr>
        <w:t>g</w:t>
      </w:r>
      <w:r>
        <w:rPr>
          <w:rFonts w:ascii="Times New Roman" w:hAnsi="Times New Roman"/>
          <w:spacing w:val="-1"/>
          <w:sz w:val="24"/>
        </w:rPr>
        <w:t>é</w:t>
      </w:r>
      <w:r>
        <w:rPr>
          <w:rFonts w:ascii="Times New Roman" w:hAnsi="Times New Roman"/>
          <w:spacing w:val="5"/>
          <w:sz w:val="24"/>
        </w:rPr>
        <w:t>n</w:t>
      </w:r>
      <w:r>
        <w:rPr>
          <w:rFonts w:ascii="Times New Roman" w:hAnsi="Times New Roman"/>
          <w:spacing w:val="-5"/>
          <w:sz w:val="24"/>
        </w:rPr>
        <w:t>y</w:t>
      </w:r>
      <w:r>
        <w:rPr>
          <w:rFonts w:ascii="Times New Roman" w:hAnsi="Times New Roman"/>
          <w:spacing w:val="2"/>
          <w:sz w:val="24"/>
        </w:rPr>
        <w:t>s</w:t>
      </w:r>
      <w:r>
        <w:rPr>
          <w:rFonts w:ascii="Times New Roman" w:hAnsi="Times New Roman"/>
          <w:spacing w:val="1"/>
          <w:sz w:val="24"/>
        </w:rPr>
        <w:t>é</w:t>
      </w:r>
      <w:r>
        <w:rPr>
          <w:rFonts w:ascii="Times New Roman" w:hAnsi="Times New Roman"/>
          <w:sz w:val="24"/>
        </w:rPr>
        <w:t>g</w:t>
      </w:r>
      <w:r>
        <w:rPr>
          <w:rFonts w:ascii="Times New Roman" w:hAnsi="Times New Roman"/>
          <w:spacing w:val="-2"/>
          <w:sz w:val="24"/>
        </w:rPr>
        <w:t>g</w:t>
      </w:r>
      <w:r>
        <w:rPr>
          <w:rFonts w:ascii="Times New Roman" w:hAnsi="Times New Roman"/>
          <w:spacing w:val="-1"/>
          <w:sz w:val="24"/>
        </w:rPr>
        <w:t>e</w:t>
      </w:r>
      <w:r>
        <w:rPr>
          <w:rFonts w:ascii="Times New Roman" w:hAnsi="Times New Roman"/>
          <w:sz w:val="24"/>
        </w:rPr>
        <w:t>l</w:t>
      </w:r>
      <w:r>
        <w:rPr>
          <w:rFonts w:ascii="Times New Roman" w:hAnsi="Times New Roman"/>
          <w:spacing w:val="24"/>
          <w:sz w:val="24"/>
        </w:rPr>
        <w:t xml:space="preserve"> </w:t>
      </w:r>
      <w:r>
        <w:rPr>
          <w:rFonts w:ascii="Times New Roman" w:hAnsi="Times New Roman"/>
          <w:sz w:val="24"/>
        </w:rPr>
        <w:t>öss</w:t>
      </w:r>
      <w:r>
        <w:rPr>
          <w:rFonts w:ascii="Times New Roman" w:hAnsi="Times New Roman"/>
          <w:spacing w:val="2"/>
          <w:sz w:val="24"/>
        </w:rPr>
        <w:t>z</w:t>
      </w:r>
      <w:r>
        <w:rPr>
          <w:rFonts w:ascii="Times New Roman" w:hAnsi="Times New Roman"/>
          <w:spacing w:val="-1"/>
          <w:sz w:val="24"/>
        </w:rPr>
        <w:t>e</w:t>
      </w:r>
      <w:r>
        <w:rPr>
          <w:rFonts w:ascii="Times New Roman" w:hAnsi="Times New Roman"/>
          <w:sz w:val="24"/>
        </w:rPr>
        <w:t>f</w:t>
      </w:r>
      <w:r>
        <w:rPr>
          <w:rFonts w:ascii="Times New Roman" w:hAnsi="Times New Roman"/>
          <w:spacing w:val="1"/>
          <w:sz w:val="24"/>
        </w:rPr>
        <w:t>ü</w:t>
      </w:r>
      <w:r>
        <w:rPr>
          <w:rFonts w:ascii="Times New Roman" w:hAnsi="Times New Roman"/>
          <w:sz w:val="24"/>
        </w:rPr>
        <w:t>g</w:t>
      </w:r>
      <w:r>
        <w:rPr>
          <w:rFonts w:ascii="Times New Roman" w:hAnsi="Times New Roman"/>
          <w:spacing w:val="-2"/>
          <w:sz w:val="24"/>
        </w:rPr>
        <w:t>g</w:t>
      </w:r>
      <w:r>
        <w:rPr>
          <w:rFonts w:ascii="Times New Roman" w:hAnsi="Times New Roman"/>
          <w:sz w:val="24"/>
        </w:rPr>
        <w:t>ő</w:t>
      </w:r>
      <w:r>
        <w:rPr>
          <w:rFonts w:ascii="Times New Roman" w:hAnsi="Times New Roman"/>
          <w:spacing w:val="23"/>
          <w:sz w:val="24"/>
        </w:rPr>
        <w:t xml:space="preserve"> </w:t>
      </w:r>
      <w:r>
        <w:rPr>
          <w:rFonts w:ascii="Times New Roman" w:hAnsi="Times New Roman"/>
          <w:sz w:val="24"/>
        </w:rPr>
        <w:t>k</w:t>
      </w:r>
      <w:r>
        <w:rPr>
          <w:rFonts w:ascii="Times New Roman" w:hAnsi="Times New Roman"/>
          <w:spacing w:val="2"/>
          <w:sz w:val="24"/>
        </w:rPr>
        <w:t>ö</w:t>
      </w:r>
      <w:r>
        <w:rPr>
          <w:rFonts w:ascii="Times New Roman" w:hAnsi="Times New Roman"/>
          <w:sz w:val="24"/>
        </w:rPr>
        <w:t>rülm</w:t>
      </w:r>
      <w:r>
        <w:rPr>
          <w:rFonts w:ascii="Times New Roman" w:hAnsi="Times New Roman"/>
          <w:spacing w:val="-1"/>
          <w:sz w:val="24"/>
        </w:rPr>
        <w:t>é</w:t>
      </w:r>
      <w:r>
        <w:rPr>
          <w:rFonts w:ascii="Times New Roman" w:hAnsi="Times New Roman"/>
          <w:spacing w:val="5"/>
          <w:sz w:val="24"/>
        </w:rPr>
        <w:t>n</w:t>
      </w:r>
      <w:r>
        <w:rPr>
          <w:rFonts w:ascii="Times New Roman" w:hAnsi="Times New Roman"/>
          <w:spacing w:val="-5"/>
          <w:sz w:val="24"/>
        </w:rPr>
        <w:t>y</w:t>
      </w:r>
      <w:r>
        <w:rPr>
          <w:rFonts w:ascii="Times New Roman" w:hAnsi="Times New Roman"/>
          <w:spacing w:val="-1"/>
          <w:sz w:val="24"/>
        </w:rPr>
        <w:t>e</w:t>
      </w:r>
      <w:r>
        <w:rPr>
          <w:rFonts w:ascii="Times New Roman" w:hAnsi="Times New Roman"/>
          <w:sz w:val="24"/>
        </w:rPr>
        <w:t>kből</w:t>
      </w:r>
      <w:r>
        <w:rPr>
          <w:rFonts w:ascii="Times New Roman" w:hAnsi="Times New Roman"/>
          <w:spacing w:val="26"/>
          <w:sz w:val="24"/>
        </w:rPr>
        <w:t xml:space="preserve"> </w:t>
      </w:r>
      <w:r>
        <w:rPr>
          <w:rFonts w:ascii="Times New Roman" w:hAnsi="Times New Roman"/>
          <w:sz w:val="24"/>
        </w:rPr>
        <w:t>f</w:t>
      </w:r>
      <w:r>
        <w:rPr>
          <w:rFonts w:ascii="Times New Roman" w:hAnsi="Times New Roman"/>
          <w:spacing w:val="-2"/>
          <w:sz w:val="24"/>
        </w:rPr>
        <w:t>a</w:t>
      </w:r>
      <w:r>
        <w:rPr>
          <w:rFonts w:ascii="Times New Roman" w:hAnsi="Times New Roman"/>
          <w:spacing w:val="8"/>
          <w:sz w:val="24"/>
        </w:rPr>
        <w:t>k</w:t>
      </w:r>
      <w:r>
        <w:rPr>
          <w:rFonts w:ascii="Times New Roman" w:hAnsi="Times New Roman"/>
          <w:spacing w:val="1"/>
          <w:sz w:val="24"/>
        </w:rPr>
        <w:t>a</w:t>
      </w:r>
      <w:r>
        <w:rPr>
          <w:rFonts w:ascii="Times New Roman" w:hAnsi="Times New Roman"/>
          <w:sz w:val="24"/>
        </w:rPr>
        <w:t>d. A</w:t>
      </w:r>
      <w:r>
        <w:rPr>
          <w:rFonts w:ascii="Times New Roman" w:hAnsi="Times New Roman"/>
          <w:spacing w:val="44"/>
          <w:sz w:val="24"/>
        </w:rPr>
        <w:t xml:space="preserve"> </w:t>
      </w:r>
      <w:r>
        <w:rPr>
          <w:rFonts w:ascii="Times New Roman" w:hAnsi="Times New Roman"/>
          <w:sz w:val="24"/>
        </w:rPr>
        <w:t>s</w:t>
      </w:r>
      <w:r>
        <w:rPr>
          <w:rFonts w:ascii="Times New Roman" w:hAnsi="Times New Roman"/>
          <w:spacing w:val="1"/>
          <w:sz w:val="24"/>
        </w:rPr>
        <w:t>z</w:t>
      </w:r>
      <w:r>
        <w:rPr>
          <w:rFonts w:ascii="Times New Roman" w:hAnsi="Times New Roman"/>
          <w:spacing w:val="-1"/>
          <w:sz w:val="24"/>
        </w:rPr>
        <w:t>e</w:t>
      </w:r>
      <w:r>
        <w:rPr>
          <w:rFonts w:ascii="Times New Roman" w:hAnsi="Times New Roman"/>
          <w:spacing w:val="-2"/>
          <w:sz w:val="24"/>
        </w:rPr>
        <w:t>g</w:t>
      </w:r>
      <w:r>
        <w:rPr>
          <w:rFonts w:ascii="Times New Roman" w:hAnsi="Times New Roman"/>
          <w:sz w:val="24"/>
        </w:rPr>
        <w:t>reg</w:t>
      </w:r>
      <w:r>
        <w:rPr>
          <w:rFonts w:ascii="Times New Roman" w:hAnsi="Times New Roman"/>
          <w:spacing w:val="-1"/>
          <w:sz w:val="24"/>
        </w:rPr>
        <w:t>ác</w:t>
      </w:r>
      <w:r>
        <w:rPr>
          <w:rFonts w:ascii="Times New Roman" w:hAnsi="Times New Roman"/>
          <w:sz w:val="24"/>
        </w:rPr>
        <w:t>ió</w:t>
      </w:r>
      <w:r>
        <w:rPr>
          <w:rFonts w:ascii="Times New Roman" w:hAnsi="Times New Roman"/>
          <w:spacing w:val="43"/>
          <w:sz w:val="24"/>
        </w:rPr>
        <w:t xml:space="preserve"> </w:t>
      </w:r>
      <w:r>
        <w:rPr>
          <w:rFonts w:ascii="Times New Roman" w:hAnsi="Times New Roman"/>
          <w:spacing w:val="3"/>
          <w:sz w:val="24"/>
        </w:rPr>
        <w:t>m</w:t>
      </w:r>
      <w:r>
        <w:rPr>
          <w:rFonts w:ascii="Times New Roman" w:hAnsi="Times New Roman"/>
          <w:spacing w:val="-1"/>
          <w:sz w:val="24"/>
        </w:rPr>
        <w:t>é</w:t>
      </w:r>
      <w:r>
        <w:rPr>
          <w:rFonts w:ascii="Times New Roman" w:hAnsi="Times New Roman"/>
          <w:sz w:val="24"/>
        </w:rPr>
        <w:t>rt</w:t>
      </w:r>
      <w:r>
        <w:rPr>
          <w:rFonts w:ascii="Times New Roman" w:hAnsi="Times New Roman"/>
          <w:spacing w:val="-1"/>
          <w:sz w:val="24"/>
        </w:rPr>
        <w:t>é</w:t>
      </w:r>
      <w:r>
        <w:rPr>
          <w:rFonts w:ascii="Times New Roman" w:hAnsi="Times New Roman"/>
          <w:sz w:val="24"/>
        </w:rPr>
        <w:t>k</w:t>
      </w:r>
      <w:r>
        <w:rPr>
          <w:rFonts w:ascii="Times New Roman" w:hAnsi="Times New Roman"/>
          <w:spacing w:val="-1"/>
          <w:sz w:val="24"/>
        </w:rPr>
        <w:t>e</w:t>
      </w:r>
      <w:r>
        <w:rPr>
          <w:rFonts w:ascii="Times New Roman" w:hAnsi="Times New Roman"/>
          <w:sz w:val="24"/>
        </w:rPr>
        <w:t>,</w:t>
      </w:r>
      <w:r>
        <w:rPr>
          <w:rFonts w:ascii="Times New Roman" w:hAnsi="Times New Roman"/>
          <w:spacing w:val="45"/>
          <w:sz w:val="24"/>
        </w:rPr>
        <w:t xml:space="preserve"> </w:t>
      </w:r>
      <w:r>
        <w:rPr>
          <w:rFonts w:ascii="Times New Roman" w:hAnsi="Times New Roman"/>
          <w:sz w:val="24"/>
        </w:rPr>
        <w:t>a</w:t>
      </w:r>
      <w:r>
        <w:rPr>
          <w:rFonts w:ascii="Times New Roman" w:hAnsi="Times New Roman"/>
          <w:spacing w:val="46"/>
          <w:sz w:val="24"/>
        </w:rPr>
        <w:t xml:space="preserve"> </w:t>
      </w:r>
      <w:r>
        <w:rPr>
          <w:rFonts w:ascii="Times New Roman" w:hAnsi="Times New Roman"/>
          <w:sz w:val="24"/>
        </w:rPr>
        <w:t>tá</w:t>
      </w:r>
      <w:r>
        <w:rPr>
          <w:rFonts w:ascii="Times New Roman" w:hAnsi="Times New Roman"/>
          <w:spacing w:val="-1"/>
          <w:sz w:val="24"/>
        </w:rPr>
        <w:t>r</w:t>
      </w:r>
      <w:r>
        <w:rPr>
          <w:rFonts w:ascii="Times New Roman" w:hAnsi="Times New Roman"/>
          <w:sz w:val="24"/>
        </w:rPr>
        <w:t>s</w:t>
      </w:r>
      <w:r>
        <w:rPr>
          <w:rFonts w:ascii="Times New Roman" w:hAnsi="Times New Roman"/>
          <w:spacing w:val="-1"/>
          <w:sz w:val="24"/>
        </w:rPr>
        <w:t>a</w:t>
      </w:r>
      <w:r>
        <w:rPr>
          <w:rFonts w:ascii="Times New Roman" w:hAnsi="Times New Roman"/>
          <w:sz w:val="24"/>
        </w:rPr>
        <w:t>d</w:t>
      </w:r>
      <w:r>
        <w:rPr>
          <w:rFonts w:ascii="Times New Roman" w:hAnsi="Times New Roman"/>
          <w:spacing w:val="-1"/>
          <w:sz w:val="24"/>
        </w:rPr>
        <w:t>a</w:t>
      </w:r>
      <w:r>
        <w:rPr>
          <w:rFonts w:ascii="Times New Roman" w:hAnsi="Times New Roman"/>
          <w:sz w:val="24"/>
        </w:rPr>
        <w:t>l</w:t>
      </w:r>
      <w:r>
        <w:rPr>
          <w:rFonts w:ascii="Times New Roman" w:hAnsi="Times New Roman"/>
          <w:spacing w:val="1"/>
          <w:sz w:val="24"/>
        </w:rPr>
        <w:t>m</w:t>
      </w:r>
      <w:r>
        <w:rPr>
          <w:rFonts w:ascii="Times New Roman" w:hAnsi="Times New Roman"/>
          <w:sz w:val="24"/>
        </w:rPr>
        <w:t>i</w:t>
      </w:r>
      <w:r>
        <w:rPr>
          <w:rFonts w:ascii="Times New Roman" w:hAnsi="Times New Roman"/>
          <w:spacing w:val="43"/>
          <w:sz w:val="24"/>
        </w:rPr>
        <w:t xml:space="preserve"> </w:t>
      </w:r>
      <w:r>
        <w:rPr>
          <w:rFonts w:ascii="Times New Roman" w:hAnsi="Times New Roman"/>
          <w:spacing w:val="-1"/>
          <w:sz w:val="24"/>
        </w:rPr>
        <w:t>é</w:t>
      </w:r>
      <w:r>
        <w:rPr>
          <w:rFonts w:ascii="Times New Roman" w:hAnsi="Times New Roman"/>
          <w:sz w:val="24"/>
        </w:rPr>
        <w:t>let</w:t>
      </w:r>
      <w:r>
        <w:rPr>
          <w:rFonts w:ascii="Times New Roman" w:hAnsi="Times New Roman"/>
          <w:spacing w:val="45"/>
          <w:sz w:val="24"/>
        </w:rPr>
        <w:t xml:space="preserve"> </w:t>
      </w:r>
      <w:r>
        <w:rPr>
          <w:rFonts w:ascii="Times New Roman" w:hAnsi="Times New Roman"/>
          <w:sz w:val="24"/>
        </w:rPr>
        <w:t>jel</w:t>
      </w:r>
      <w:r>
        <w:rPr>
          <w:rFonts w:ascii="Times New Roman" w:hAnsi="Times New Roman"/>
          <w:spacing w:val="-1"/>
          <w:sz w:val="24"/>
        </w:rPr>
        <w:t>e</w:t>
      </w:r>
      <w:r>
        <w:rPr>
          <w:rFonts w:ascii="Times New Roman" w:hAnsi="Times New Roman"/>
          <w:sz w:val="24"/>
        </w:rPr>
        <w:t>ntős</w:t>
      </w:r>
      <w:r>
        <w:rPr>
          <w:rFonts w:ascii="Times New Roman" w:hAnsi="Times New Roman"/>
          <w:spacing w:val="46"/>
          <w:sz w:val="24"/>
        </w:rPr>
        <w:t xml:space="preserve"> </w:t>
      </w:r>
      <w:r>
        <w:rPr>
          <w:rFonts w:ascii="Times New Roman" w:hAnsi="Times New Roman"/>
          <w:sz w:val="24"/>
        </w:rPr>
        <w:t>te</w:t>
      </w:r>
      <w:r>
        <w:rPr>
          <w:rFonts w:ascii="Times New Roman" w:hAnsi="Times New Roman"/>
          <w:spacing w:val="-1"/>
          <w:sz w:val="24"/>
        </w:rPr>
        <w:t>r</w:t>
      </w:r>
      <w:r>
        <w:rPr>
          <w:rFonts w:ascii="Times New Roman" w:hAnsi="Times New Roman"/>
          <w:sz w:val="24"/>
        </w:rPr>
        <w:t>ület</w:t>
      </w:r>
      <w:r>
        <w:rPr>
          <w:rFonts w:ascii="Times New Roman" w:hAnsi="Times New Roman"/>
          <w:spacing w:val="-1"/>
          <w:sz w:val="24"/>
        </w:rPr>
        <w:t>e</w:t>
      </w:r>
      <w:r>
        <w:rPr>
          <w:rFonts w:ascii="Times New Roman" w:hAnsi="Times New Roman"/>
          <w:sz w:val="24"/>
        </w:rPr>
        <w:t>iről</w:t>
      </w:r>
      <w:r>
        <w:rPr>
          <w:rFonts w:ascii="Times New Roman" w:hAnsi="Times New Roman"/>
          <w:spacing w:val="43"/>
          <w:sz w:val="24"/>
        </w:rPr>
        <w:t xml:space="preserve"> </w:t>
      </w:r>
      <w:r>
        <w:rPr>
          <w:rFonts w:ascii="Times New Roman" w:hAnsi="Times New Roman"/>
          <w:sz w:val="24"/>
        </w:rPr>
        <w:t>v</w:t>
      </w:r>
      <w:r>
        <w:rPr>
          <w:rFonts w:ascii="Times New Roman" w:hAnsi="Times New Roman"/>
          <w:spacing w:val="-1"/>
          <w:sz w:val="24"/>
        </w:rPr>
        <w:t>a</w:t>
      </w:r>
      <w:r>
        <w:rPr>
          <w:rFonts w:ascii="Times New Roman" w:hAnsi="Times New Roman"/>
          <w:sz w:val="24"/>
        </w:rPr>
        <w:t>ló t</w:t>
      </w:r>
      <w:r>
        <w:rPr>
          <w:rFonts w:ascii="Times New Roman" w:hAnsi="Times New Roman"/>
          <w:spacing w:val="1"/>
          <w:sz w:val="24"/>
        </w:rPr>
        <w:t>ö</w:t>
      </w:r>
      <w:r>
        <w:rPr>
          <w:rFonts w:ascii="Times New Roman" w:hAnsi="Times New Roman"/>
          <w:spacing w:val="-1"/>
          <w:sz w:val="24"/>
        </w:rPr>
        <w:t>me</w:t>
      </w:r>
      <w:r>
        <w:rPr>
          <w:rFonts w:ascii="Times New Roman" w:hAnsi="Times New Roman"/>
          <w:sz w:val="24"/>
        </w:rPr>
        <w:t>g</w:t>
      </w:r>
      <w:r>
        <w:rPr>
          <w:rFonts w:ascii="Times New Roman" w:hAnsi="Times New Roman"/>
          <w:spacing w:val="1"/>
          <w:sz w:val="24"/>
        </w:rPr>
        <w:t>e</w:t>
      </w:r>
      <w:r>
        <w:rPr>
          <w:rFonts w:ascii="Times New Roman" w:hAnsi="Times New Roman"/>
          <w:sz w:val="24"/>
        </w:rPr>
        <w:t xml:space="preserve">s </w:t>
      </w:r>
      <w:r>
        <w:rPr>
          <w:rFonts w:ascii="Times New Roman" w:hAnsi="Times New Roman"/>
          <w:spacing w:val="1"/>
          <w:sz w:val="24"/>
        </w:rPr>
        <w:t>k</w:t>
      </w:r>
      <w:r>
        <w:rPr>
          <w:rFonts w:ascii="Times New Roman" w:hAnsi="Times New Roman"/>
          <w:sz w:val="24"/>
        </w:rPr>
        <w:t>izá</w:t>
      </w:r>
      <w:r>
        <w:rPr>
          <w:rFonts w:ascii="Times New Roman" w:hAnsi="Times New Roman"/>
          <w:spacing w:val="-1"/>
          <w:sz w:val="24"/>
        </w:rPr>
        <w:t>r</w:t>
      </w:r>
      <w:r>
        <w:rPr>
          <w:rFonts w:ascii="Times New Roman" w:hAnsi="Times New Roman"/>
          <w:sz w:val="24"/>
        </w:rPr>
        <w:t>ó</w:t>
      </w:r>
      <w:r>
        <w:rPr>
          <w:rFonts w:ascii="Times New Roman" w:hAnsi="Times New Roman"/>
          <w:spacing w:val="1"/>
          <w:sz w:val="24"/>
        </w:rPr>
        <w:t>d</w:t>
      </w:r>
      <w:r>
        <w:rPr>
          <w:rFonts w:ascii="Times New Roman" w:hAnsi="Times New Roman"/>
          <w:sz w:val="24"/>
        </w:rPr>
        <w:t>ás</w:t>
      </w:r>
      <w:r>
        <w:rPr>
          <w:rFonts w:ascii="Times New Roman" w:hAnsi="Times New Roman"/>
          <w:spacing w:val="16"/>
          <w:sz w:val="24"/>
        </w:rPr>
        <w:t xml:space="preserve"> </w:t>
      </w:r>
      <w:r>
        <w:rPr>
          <w:rFonts w:ascii="Times New Roman" w:hAnsi="Times New Roman"/>
          <w:sz w:val="24"/>
        </w:rPr>
        <w:t>s</w:t>
      </w:r>
      <w:r>
        <w:rPr>
          <w:rFonts w:ascii="Times New Roman" w:hAnsi="Times New Roman"/>
          <w:spacing w:val="1"/>
          <w:sz w:val="24"/>
        </w:rPr>
        <w:t>ú</w:t>
      </w:r>
      <w:r>
        <w:rPr>
          <w:rFonts w:ascii="Times New Roman" w:hAnsi="Times New Roman"/>
          <w:sz w:val="24"/>
        </w:rPr>
        <w:t>lyos</w:t>
      </w:r>
      <w:r>
        <w:rPr>
          <w:rFonts w:ascii="Times New Roman" w:hAnsi="Times New Roman"/>
          <w:spacing w:val="13"/>
          <w:sz w:val="24"/>
        </w:rPr>
        <w:t xml:space="preserve"> </w:t>
      </w:r>
      <w:r>
        <w:rPr>
          <w:rFonts w:ascii="Times New Roman" w:hAnsi="Times New Roman"/>
          <w:sz w:val="24"/>
        </w:rPr>
        <w:t>tá</w:t>
      </w:r>
      <w:r>
        <w:rPr>
          <w:rFonts w:ascii="Times New Roman" w:hAnsi="Times New Roman"/>
          <w:spacing w:val="-2"/>
          <w:sz w:val="24"/>
        </w:rPr>
        <w:t>r</w:t>
      </w:r>
      <w:r>
        <w:rPr>
          <w:rFonts w:ascii="Times New Roman" w:hAnsi="Times New Roman"/>
          <w:sz w:val="24"/>
        </w:rPr>
        <w:t>sa</w:t>
      </w:r>
      <w:r>
        <w:rPr>
          <w:rFonts w:ascii="Times New Roman" w:hAnsi="Times New Roman"/>
          <w:spacing w:val="1"/>
          <w:sz w:val="24"/>
        </w:rPr>
        <w:t>d</w:t>
      </w:r>
      <w:r>
        <w:rPr>
          <w:rFonts w:ascii="Times New Roman" w:hAnsi="Times New Roman"/>
          <w:sz w:val="24"/>
        </w:rPr>
        <w:t>al</w:t>
      </w:r>
      <w:r>
        <w:rPr>
          <w:rFonts w:ascii="Times New Roman" w:hAnsi="Times New Roman"/>
          <w:spacing w:val="-3"/>
          <w:sz w:val="24"/>
        </w:rPr>
        <w:t>m</w:t>
      </w:r>
      <w:r>
        <w:rPr>
          <w:rFonts w:ascii="Times New Roman" w:hAnsi="Times New Roman"/>
          <w:sz w:val="24"/>
        </w:rPr>
        <w:t>i</w:t>
      </w:r>
      <w:r>
        <w:rPr>
          <w:rFonts w:ascii="Times New Roman" w:hAnsi="Times New Roman"/>
          <w:spacing w:val="31"/>
          <w:sz w:val="24"/>
        </w:rPr>
        <w:t xml:space="preserve"> </w:t>
      </w:r>
      <w:r>
        <w:rPr>
          <w:rFonts w:ascii="Times New Roman" w:hAnsi="Times New Roman"/>
          <w:spacing w:val="1"/>
          <w:sz w:val="24"/>
        </w:rPr>
        <w:t>p</w:t>
      </w:r>
      <w:r>
        <w:rPr>
          <w:rFonts w:ascii="Times New Roman" w:hAnsi="Times New Roman"/>
          <w:spacing w:val="-6"/>
          <w:sz w:val="24"/>
        </w:rPr>
        <w:t>r</w:t>
      </w:r>
      <w:r>
        <w:rPr>
          <w:rFonts w:ascii="Times New Roman" w:hAnsi="Times New Roman"/>
          <w:spacing w:val="2"/>
          <w:sz w:val="24"/>
        </w:rPr>
        <w:t>o</w:t>
      </w:r>
      <w:r>
        <w:rPr>
          <w:rFonts w:ascii="Times New Roman" w:hAnsi="Times New Roman"/>
          <w:spacing w:val="1"/>
          <w:sz w:val="24"/>
        </w:rPr>
        <w:t>b</w:t>
      </w:r>
      <w:r>
        <w:rPr>
          <w:rFonts w:ascii="Times New Roman" w:hAnsi="Times New Roman"/>
          <w:sz w:val="24"/>
        </w:rPr>
        <w:t>lé</w:t>
      </w:r>
      <w:r>
        <w:rPr>
          <w:rFonts w:ascii="Times New Roman" w:hAnsi="Times New Roman"/>
          <w:spacing w:val="-4"/>
          <w:sz w:val="24"/>
        </w:rPr>
        <w:t>m</w:t>
      </w:r>
      <w:r>
        <w:rPr>
          <w:rFonts w:ascii="Times New Roman" w:hAnsi="Times New Roman"/>
          <w:spacing w:val="2"/>
          <w:sz w:val="24"/>
        </w:rPr>
        <w:t>a</w:t>
      </w:r>
      <w:r>
        <w:rPr>
          <w:rFonts w:ascii="Times New Roman" w:hAnsi="Times New Roman"/>
          <w:sz w:val="24"/>
        </w:rPr>
        <w:t>.</w:t>
      </w:r>
      <w:r>
        <w:rPr>
          <w:rFonts w:ascii="Times New Roman" w:hAnsi="Times New Roman"/>
          <w:spacing w:val="31"/>
          <w:sz w:val="24"/>
        </w:rPr>
        <w:t xml:space="preserve"> </w:t>
      </w:r>
      <w:r>
        <w:rPr>
          <w:rFonts w:ascii="Times New Roman" w:hAnsi="Times New Roman"/>
          <w:sz w:val="24"/>
        </w:rPr>
        <w:t xml:space="preserve">A gyakorlatban sajnos gyakran azonosítják a mélyszegénység fogalmát a cigánysággal. A cigányság és a mélyszegénység két olyan halmazt képez, melynek van ugyan közös metszete, ám a kettő nem fedi teljesen egymást. </w:t>
      </w:r>
      <w:r>
        <w:rPr>
          <w:rFonts w:ascii="Times New Roman" w:hAnsi="Times New Roman"/>
          <w:color w:val="000000"/>
          <w:sz w:val="24"/>
        </w:rPr>
        <w:t>A 2011-es népszámlálás során Csorvás lakosságának 0,061 %-a vallotta magát romának.</w:t>
      </w:r>
    </w:p>
    <w:p w:rsidR="00795A46" w:rsidRDefault="00795A46" w:rsidP="00795A46">
      <w:pPr>
        <w:rPr>
          <w:rFonts w:ascii="Times New Roman" w:hAnsi="Times New Roman"/>
          <w:i/>
          <w:iCs/>
          <w:sz w:val="24"/>
        </w:rPr>
      </w:pPr>
    </w:p>
    <w:p w:rsidR="00795A46" w:rsidRDefault="00795A46" w:rsidP="00795A46">
      <w:pPr>
        <w:suppressAutoHyphens w:val="0"/>
        <w:ind w:firstLine="567"/>
        <w:rPr>
          <w:rFonts w:ascii="Times New Roman" w:hAnsi="Times New Roman"/>
          <w:sz w:val="24"/>
          <w:lang w:eastAsia="hu-HU"/>
        </w:rPr>
      </w:pPr>
      <w:r>
        <w:rPr>
          <w:rFonts w:ascii="Times New Roman" w:hAnsi="Times New Roman"/>
          <w:sz w:val="24"/>
          <w:lang w:eastAsia="hu-HU"/>
        </w:rPr>
        <w:t>A fejezetben a helyi önkormányzat a foglalkoztatás elősegítéséről és a munkanélküliek ellátásáról szóló 1991. évi IV. törvény (továbbiakban: Flt.) és a Mötv-ben foglalt feladatai alapján településünkre jellemző foglalkoztatottságot, munkaerő-piaci lehetőségeket kívánjuk elemezni az elmúlt évek változásainak bemutatásával, a különböző korosztályok, illetve nemek szerinti bontásban. Az elemzést összevetjük térségi és országos adatokkal is.</w:t>
      </w:r>
    </w:p>
    <w:p w:rsidR="00795A46" w:rsidRDefault="00795A46" w:rsidP="00795A46">
      <w:pPr>
        <w:rPr>
          <w:rFonts w:ascii="Times New Roman" w:hAnsi="Times New Roman"/>
          <w:i/>
          <w:iCs/>
          <w:sz w:val="24"/>
        </w:rPr>
      </w:pPr>
    </w:p>
    <w:p w:rsidR="00795A46" w:rsidRDefault="00795A46" w:rsidP="00795A46">
      <w:pPr>
        <w:rPr>
          <w:rFonts w:ascii="Times New Roman" w:hAnsi="Times New Roman"/>
          <w:i/>
          <w:iCs/>
          <w:sz w:val="24"/>
        </w:rPr>
      </w:pPr>
    </w:p>
    <w:p w:rsidR="00795A46" w:rsidRDefault="00795A46" w:rsidP="00795A46">
      <w:pPr>
        <w:rPr>
          <w:rFonts w:ascii="Times New Roman" w:hAnsi="Times New Roman"/>
          <w:b/>
          <w:bCs/>
          <w:sz w:val="24"/>
        </w:rPr>
      </w:pPr>
      <w:r>
        <w:rPr>
          <w:rFonts w:ascii="Times New Roman" w:hAnsi="Times New Roman"/>
          <w:b/>
          <w:bCs/>
          <w:sz w:val="24"/>
        </w:rPr>
        <w:t>3.1 Jövedelmi és vagyoni helyzet</w:t>
      </w:r>
      <w:r>
        <w:rPr>
          <w:rFonts w:ascii="Times New Roman" w:hAnsi="Times New Roman"/>
          <w:b/>
          <w:bCs/>
          <w:sz w:val="24"/>
        </w:rPr>
        <w:tab/>
      </w:r>
      <w:r>
        <w:rPr>
          <w:rFonts w:ascii="Times New Roman" w:hAnsi="Times New Roman"/>
          <w:b/>
          <w:bCs/>
          <w:sz w:val="24"/>
        </w:rPr>
        <w:br/>
      </w:r>
    </w:p>
    <w:p w:rsidR="00795A46" w:rsidRDefault="00795A46" w:rsidP="00795A46">
      <w:pPr>
        <w:ind w:firstLine="709"/>
        <w:rPr>
          <w:rFonts w:ascii="Times New Roman" w:hAnsi="Times New Roman"/>
          <w:sz w:val="24"/>
        </w:rPr>
      </w:pPr>
      <w:r>
        <w:rPr>
          <w:rFonts w:ascii="Times New Roman" w:hAnsi="Times New Roman"/>
          <w:sz w:val="24"/>
        </w:rPr>
        <w:t xml:space="preserve">A jövedelmi és vagyoni helyzet tekintetében bár rendelkezünk központi adatokkal, a helyi jövedelmi, vagyoni helyzetre utalhatnak az alábbi táblázatok adatai, amelyeket érdemesnek tartunk bemutatni. </w:t>
      </w:r>
    </w:p>
    <w:p w:rsidR="00795A46" w:rsidRDefault="00795A46" w:rsidP="00795A46">
      <w:pPr>
        <w:rPr>
          <w:rFonts w:ascii="Times New Roman" w:hAnsi="Times New Roman"/>
          <w:sz w:val="24"/>
        </w:rPr>
      </w:pPr>
      <w:r>
        <w:rPr>
          <w:rFonts w:ascii="Times New Roman" w:hAnsi="Times New Roman"/>
          <w:sz w:val="24"/>
        </w:rPr>
        <w:t xml:space="preserve">Az első táblázatban olvasható adóerő-képesség például megmutatja az adóévben Csorváson beszedett iparűzési adó teljes összegének egy lakosra jutó összegét. </w:t>
      </w:r>
    </w:p>
    <w:p w:rsidR="00795A46" w:rsidRDefault="00795A46" w:rsidP="00795A46">
      <w:pPr>
        <w:rPr>
          <w:rFonts w:ascii="Times New Roman" w:hAnsi="Times New Roman"/>
          <w:color w:val="000000"/>
          <w:sz w:val="24"/>
        </w:rPr>
      </w:pPr>
      <w:r>
        <w:rPr>
          <w:rFonts w:ascii="Times New Roman" w:hAnsi="Times New Roman"/>
          <w:sz w:val="24"/>
        </w:rPr>
        <w:t xml:space="preserve">A második táblázatban </w:t>
      </w:r>
      <w:r>
        <w:rPr>
          <w:rFonts w:ascii="Times New Roman" w:hAnsi="Times New Roman"/>
          <w:color w:val="000000"/>
          <w:sz w:val="24"/>
        </w:rPr>
        <w:t xml:space="preserve">az Önkormányzat által a korábbi években nyilvántartott gépjárműadó fizetésre kötelezett személygépkocsik száma látható. A táblázatból az a következtetés vonható le, hogy egyre több csorvási lakos rendelkezik gépjárművel. </w:t>
      </w:r>
    </w:p>
    <w:p w:rsidR="00795A46" w:rsidRDefault="00795A46" w:rsidP="00795A46">
      <w:pP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r>
        <w:rPr>
          <w:rFonts w:ascii="Times New Roman" w:hAnsi="Times New Roman"/>
          <w:b/>
          <w:bCs/>
          <w:sz w:val="24"/>
        </w:rPr>
        <w:t>Csorvás adóerő-képessége</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tbl>
      <w:tblPr>
        <w:tblW w:w="0" w:type="auto"/>
        <w:tblInd w:w="-68" w:type="dxa"/>
        <w:tblLayout w:type="fixed"/>
        <w:tblCellMar>
          <w:left w:w="70" w:type="dxa"/>
          <w:right w:w="70" w:type="dxa"/>
        </w:tblCellMar>
        <w:tblLook w:val="00A0" w:firstRow="1" w:lastRow="0" w:firstColumn="1" w:lastColumn="0" w:noHBand="0" w:noVBand="0"/>
      </w:tblPr>
      <w:tblGrid>
        <w:gridCol w:w="4004"/>
        <w:gridCol w:w="3136"/>
      </w:tblGrid>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left"/>
              <w:rPr>
                <w:rFonts w:ascii="Times New Roman" w:hAnsi="Times New Roman"/>
                <w:b/>
                <w:bCs/>
                <w:sz w:val="24"/>
              </w:rPr>
            </w:pPr>
            <w:r>
              <w:rPr>
                <w:rFonts w:ascii="Times New Roman" w:hAnsi="Times New Roman"/>
                <w:b/>
                <w:bCs/>
                <w:sz w:val="24"/>
              </w:rPr>
              <w:t>Évek</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center"/>
              <w:rPr>
                <w:rFonts w:ascii="Times New Roman" w:hAnsi="Times New Roman"/>
                <w:b/>
                <w:bCs/>
                <w:sz w:val="24"/>
              </w:rPr>
            </w:pPr>
            <w:r>
              <w:rPr>
                <w:rFonts w:ascii="Times New Roman" w:hAnsi="Times New Roman"/>
                <w:b/>
                <w:bCs/>
                <w:sz w:val="24"/>
              </w:rPr>
              <w:t>Adóerő-képesség</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left"/>
              <w:rPr>
                <w:rFonts w:ascii="Times New Roman" w:hAnsi="Times New Roman"/>
                <w:color w:val="000000"/>
                <w:sz w:val="24"/>
              </w:rPr>
            </w:pPr>
            <w:r>
              <w:rPr>
                <w:rFonts w:ascii="Times New Roman" w:hAnsi="Times New Roman"/>
                <w:color w:val="000000"/>
                <w:sz w:val="24"/>
              </w:rPr>
              <w:t>2013</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right"/>
              <w:rPr>
                <w:rFonts w:ascii="Times New Roman" w:hAnsi="Times New Roman"/>
                <w:color w:val="000000"/>
                <w:sz w:val="24"/>
              </w:rPr>
            </w:pPr>
            <w:r>
              <w:rPr>
                <w:rFonts w:ascii="Times New Roman" w:hAnsi="Times New Roman"/>
                <w:color w:val="000000"/>
                <w:sz w:val="24"/>
              </w:rPr>
              <w:t>30.590.343 Ft</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left"/>
              <w:rPr>
                <w:rFonts w:ascii="Times New Roman" w:hAnsi="Times New Roman"/>
                <w:color w:val="000000"/>
                <w:sz w:val="24"/>
              </w:rPr>
            </w:pPr>
            <w:r>
              <w:rPr>
                <w:rFonts w:ascii="Times New Roman" w:hAnsi="Times New Roman"/>
                <w:color w:val="000000"/>
                <w:sz w:val="24"/>
              </w:rPr>
              <w:t>2014</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right"/>
              <w:rPr>
                <w:rFonts w:ascii="Times New Roman" w:hAnsi="Times New Roman"/>
                <w:color w:val="000000"/>
                <w:sz w:val="24"/>
              </w:rPr>
            </w:pPr>
            <w:r>
              <w:rPr>
                <w:rFonts w:ascii="Times New Roman" w:hAnsi="Times New Roman"/>
                <w:color w:val="000000"/>
                <w:sz w:val="24"/>
              </w:rPr>
              <w:t>39.358.805 Ft</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left"/>
              <w:rPr>
                <w:rFonts w:ascii="Times New Roman" w:hAnsi="Times New Roman"/>
                <w:color w:val="000000"/>
                <w:sz w:val="24"/>
              </w:rPr>
            </w:pPr>
            <w:r>
              <w:rPr>
                <w:rFonts w:ascii="Times New Roman" w:hAnsi="Times New Roman"/>
                <w:color w:val="000000"/>
                <w:sz w:val="24"/>
              </w:rPr>
              <w:t>2015</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right"/>
              <w:rPr>
                <w:rFonts w:ascii="Times New Roman" w:hAnsi="Times New Roman"/>
                <w:color w:val="000000"/>
                <w:sz w:val="24"/>
              </w:rPr>
            </w:pPr>
            <w:r>
              <w:rPr>
                <w:rFonts w:ascii="Times New Roman" w:hAnsi="Times New Roman"/>
                <w:color w:val="000000"/>
                <w:sz w:val="24"/>
              </w:rPr>
              <w:t>41.888.564 Ft</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left"/>
              <w:rPr>
                <w:rFonts w:ascii="Times New Roman" w:hAnsi="Times New Roman"/>
                <w:color w:val="000000"/>
                <w:sz w:val="24"/>
              </w:rPr>
            </w:pPr>
            <w:r>
              <w:rPr>
                <w:rFonts w:ascii="Times New Roman" w:hAnsi="Times New Roman"/>
                <w:color w:val="000000"/>
                <w:sz w:val="24"/>
              </w:rPr>
              <w:t>2016</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right"/>
              <w:rPr>
                <w:rFonts w:ascii="Times New Roman" w:hAnsi="Times New Roman"/>
                <w:color w:val="000000"/>
                <w:sz w:val="24"/>
              </w:rPr>
            </w:pPr>
            <w:r>
              <w:rPr>
                <w:rFonts w:ascii="Times New Roman" w:hAnsi="Times New Roman"/>
                <w:color w:val="000000"/>
                <w:sz w:val="24"/>
              </w:rPr>
              <w:t>38.254.894 Ft</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left"/>
              <w:rPr>
                <w:rFonts w:ascii="Times New Roman" w:hAnsi="Times New Roman"/>
                <w:color w:val="000000"/>
                <w:sz w:val="24"/>
              </w:rPr>
            </w:pPr>
            <w:r>
              <w:rPr>
                <w:rFonts w:ascii="Times New Roman" w:hAnsi="Times New Roman"/>
                <w:color w:val="000000"/>
                <w:sz w:val="24"/>
              </w:rPr>
              <w:t>2017</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right"/>
              <w:rPr>
                <w:rFonts w:ascii="Times New Roman" w:hAnsi="Times New Roman"/>
                <w:color w:val="000000"/>
                <w:sz w:val="24"/>
              </w:rPr>
            </w:pPr>
            <w:r>
              <w:rPr>
                <w:rFonts w:ascii="Times New Roman" w:hAnsi="Times New Roman"/>
                <w:color w:val="000000"/>
                <w:sz w:val="24"/>
              </w:rPr>
              <w:t>41.539.983 Ft</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left"/>
              <w:rPr>
                <w:rFonts w:ascii="Times New Roman" w:hAnsi="Times New Roman"/>
                <w:color w:val="000000"/>
                <w:sz w:val="24"/>
              </w:rPr>
            </w:pPr>
            <w:r>
              <w:rPr>
                <w:rFonts w:ascii="Times New Roman" w:hAnsi="Times New Roman"/>
                <w:color w:val="000000"/>
                <w:sz w:val="24"/>
              </w:rPr>
              <w:t>2018</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right"/>
              <w:rPr>
                <w:rFonts w:ascii="Times New Roman" w:hAnsi="Times New Roman"/>
                <w:color w:val="000000"/>
                <w:sz w:val="24"/>
              </w:rPr>
            </w:pPr>
            <w:r>
              <w:rPr>
                <w:rFonts w:ascii="Times New Roman" w:hAnsi="Times New Roman"/>
                <w:color w:val="000000"/>
                <w:sz w:val="24"/>
              </w:rPr>
              <w:t>47.804.293 Ft</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left"/>
              <w:rPr>
                <w:rFonts w:ascii="Times New Roman" w:hAnsi="Times New Roman"/>
                <w:color w:val="000000"/>
                <w:sz w:val="24"/>
              </w:rPr>
            </w:pPr>
            <w:r>
              <w:rPr>
                <w:rFonts w:ascii="Times New Roman" w:hAnsi="Times New Roman"/>
                <w:color w:val="000000"/>
                <w:sz w:val="24"/>
              </w:rPr>
              <w:t>2019</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right"/>
              <w:rPr>
                <w:rFonts w:ascii="Times New Roman" w:hAnsi="Times New Roman"/>
                <w:color w:val="000000"/>
                <w:sz w:val="24"/>
              </w:rPr>
            </w:pPr>
            <w:r>
              <w:rPr>
                <w:rFonts w:ascii="Times New Roman" w:hAnsi="Times New Roman"/>
                <w:color w:val="000000"/>
                <w:sz w:val="24"/>
              </w:rPr>
              <w:t>52.931.271 Ft</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left"/>
              <w:rPr>
                <w:rFonts w:ascii="Times New Roman" w:hAnsi="Times New Roman"/>
                <w:color w:val="000000"/>
                <w:sz w:val="24"/>
              </w:rPr>
            </w:pPr>
            <w:r>
              <w:rPr>
                <w:rFonts w:ascii="Times New Roman" w:hAnsi="Times New Roman"/>
                <w:color w:val="000000"/>
                <w:sz w:val="24"/>
              </w:rPr>
              <w:t>2020</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right"/>
              <w:rPr>
                <w:rFonts w:ascii="Times New Roman" w:hAnsi="Times New Roman"/>
                <w:color w:val="000000"/>
                <w:sz w:val="24"/>
              </w:rPr>
            </w:pPr>
            <w:r>
              <w:rPr>
                <w:rFonts w:ascii="Times New Roman" w:hAnsi="Times New Roman"/>
                <w:color w:val="000000"/>
                <w:sz w:val="24"/>
              </w:rPr>
              <w:t>58.667.406 Ft</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left"/>
              <w:rPr>
                <w:rFonts w:ascii="Times New Roman" w:hAnsi="Times New Roman"/>
                <w:color w:val="000000"/>
                <w:sz w:val="24"/>
              </w:rPr>
            </w:pPr>
            <w:r>
              <w:rPr>
                <w:rFonts w:ascii="Times New Roman" w:hAnsi="Times New Roman"/>
                <w:color w:val="000000"/>
                <w:sz w:val="24"/>
              </w:rPr>
              <w:t>2021</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right"/>
              <w:rPr>
                <w:rFonts w:ascii="Times New Roman" w:hAnsi="Times New Roman"/>
                <w:color w:val="000000"/>
                <w:sz w:val="24"/>
              </w:rPr>
            </w:pPr>
            <w:r>
              <w:rPr>
                <w:rFonts w:ascii="Times New Roman" w:hAnsi="Times New Roman"/>
                <w:color w:val="000000"/>
                <w:sz w:val="24"/>
              </w:rPr>
              <w:t>68.306.368 Ft</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Forrás: Önkormányzati adatgyűjtés</w:t>
      </w:r>
    </w:p>
    <w:p w:rsidR="00795A46" w:rsidRDefault="00795A46" w:rsidP="00795A46">
      <w:pPr>
        <w:pStyle w:val="NormlWeb"/>
        <w:spacing w:before="0" w:after="0"/>
        <w:rPr>
          <w:rFonts w:ascii="Times New Roman" w:hAnsi="Times New Roman" w:cs="Times New Roman"/>
          <w:color w:val="000000"/>
          <w:sz w:val="24"/>
          <w:szCs w:val="24"/>
        </w:rPr>
      </w:pPr>
    </w:p>
    <w:p w:rsidR="00795A46" w:rsidRDefault="00795A46" w:rsidP="00795A46">
      <w:pPr>
        <w:pStyle w:val="NormlWeb"/>
        <w:spacing w:before="0" w:after="0"/>
        <w:rPr>
          <w:rFonts w:ascii="Times New Roman" w:hAnsi="Times New Roman" w:cs="Times New Roman"/>
          <w:b/>
          <w:bCs/>
          <w:color w:val="000000"/>
          <w:sz w:val="24"/>
          <w:szCs w:val="24"/>
        </w:rPr>
      </w:pPr>
      <w:r>
        <w:rPr>
          <w:rFonts w:ascii="Times New Roman" w:hAnsi="Times New Roman" w:cs="Times New Roman"/>
          <w:b/>
          <w:bCs/>
          <w:color w:val="000000"/>
          <w:sz w:val="24"/>
          <w:szCs w:val="24"/>
        </w:rPr>
        <w:t>A gépjárműadó fizetésre kötelezett személygépkocsik száma Csorváson</w:t>
      </w:r>
    </w:p>
    <w:p w:rsidR="00795A46" w:rsidRDefault="00795A46" w:rsidP="00795A46">
      <w:pPr>
        <w:pStyle w:val="NormlWeb"/>
        <w:spacing w:before="0" w:after="0"/>
        <w:rPr>
          <w:rFonts w:ascii="Times New Roman" w:hAnsi="Times New Roman" w:cs="Times New Roman"/>
          <w:color w:val="000000"/>
          <w:sz w:val="24"/>
          <w:szCs w:val="24"/>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004"/>
        <w:gridCol w:w="3136"/>
      </w:tblGrid>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left"/>
              <w:rPr>
                <w:rFonts w:ascii="Times New Roman" w:hAnsi="Times New Roman"/>
                <w:b/>
                <w:bCs/>
                <w:color w:val="000000"/>
                <w:sz w:val="24"/>
              </w:rPr>
            </w:pPr>
            <w:r>
              <w:rPr>
                <w:rFonts w:ascii="Times New Roman" w:hAnsi="Times New Roman"/>
                <w:b/>
                <w:bCs/>
                <w:color w:val="000000"/>
                <w:sz w:val="24"/>
              </w:rPr>
              <w:t>Évek</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left"/>
              <w:rPr>
                <w:rFonts w:ascii="Times New Roman" w:hAnsi="Times New Roman"/>
                <w:b/>
                <w:bCs/>
                <w:color w:val="000000"/>
                <w:sz w:val="24"/>
              </w:rPr>
            </w:pPr>
            <w:r>
              <w:rPr>
                <w:rFonts w:ascii="Times New Roman" w:hAnsi="Times New Roman"/>
                <w:b/>
                <w:bCs/>
                <w:color w:val="000000"/>
                <w:sz w:val="24"/>
              </w:rPr>
              <w:t>Személygépkocsik száma</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left"/>
              <w:rPr>
                <w:rFonts w:ascii="Times New Roman" w:hAnsi="Times New Roman"/>
                <w:color w:val="000000"/>
                <w:sz w:val="24"/>
              </w:rPr>
            </w:pPr>
            <w:r>
              <w:rPr>
                <w:rFonts w:ascii="Times New Roman" w:hAnsi="Times New Roman"/>
                <w:color w:val="000000"/>
                <w:sz w:val="24"/>
              </w:rPr>
              <w:t>2013</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right"/>
              <w:rPr>
                <w:rFonts w:ascii="Times New Roman" w:hAnsi="Times New Roman"/>
                <w:color w:val="000000"/>
                <w:sz w:val="24"/>
              </w:rPr>
            </w:pPr>
            <w:r>
              <w:rPr>
                <w:rFonts w:ascii="Times New Roman" w:hAnsi="Times New Roman"/>
                <w:color w:val="000000"/>
                <w:sz w:val="24"/>
              </w:rPr>
              <w:t>1479 db</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left"/>
              <w:rPr>
                <w:rFonts w:ascii="Times New Roman" w:hAnsi="Times New Roman"/>
                <w:color w:val="000000"/>
                <w:sz w:val="24"/>
              </w:rPr>
            </w:pPr>
            <w:r>
              <w:rPr>
                <w:rFonts w:ascii="Times New Roman" w:hAnsi="Times New Roman"/>
                <w:color w:val="000000"/>
                <w:sz w:val="24"/>
              </w:rPr>
              <w:t>2014</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right"/>
              <w:rPr>
                <w:rFonts w:ascii="Times New Roman" w:hAnsi="Times New Roman"/>
                <w:color w:val="000000"/>
                <w:sz w:val="24"/>
              </w:rPr>
            </w:pPr>
            <w:r>
              <w:rPr>
                <w:rFonts w:ascii="Times New Roman" w:hAnsi="Times New Roman"/>
                <w:color w:val="000000"/>
                <w:sz w:val="24"/>
              </w:rPr>
              <w:t>1504 db</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left"/>
              <w:rPr>
                <w:rFonts w:ascii="Times New Roman" w:hAnsi="Times New Roman"/>
                <w:color w:val="000000"/>
                <w:sz w:val="24"/>
              </w:rPr>
            </w:pPr>
            <w:r>
              <w:rPr>
                <w:rFonts w:ascii="Times New Roman" w:hAnsi="Times New Roman"/>
                <w:color w:val="000000"/>
                <w:sz w:val="24"/>
              </w:rPr>
              <w:t>2015</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right"/>
              <w:rPr>
                <w:rFonts w:ascii="Times New Roman" w:hAnsi="Times New Roman"/>
                <w:color w:val="000000"/>
                <w:sz w:val="24"/>
              </w:rPr>
            </w:pPr>
            <w:r>
              <w:rPr>
                <w:rFonts w:ascii="Times New Roman" w:hAnsi="Times New Roman"/>
                <w:color w:val="000000"/>
                <w:sz w:val="24"/>
              </w:rPr>
              <w:t>1559 db</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left"/>
              <w:rPr>
                <w:rFonts w:ascii="Times New Roman" w:hAnsi="Times New Roman"/>
                <w:color w:val="000000"/>
                <w:sz w:val="24"/>
              </w:rPr>
            </w:pPr>
            <w:r>
              <w:rPr>
                <w:rFonts w:ascii="Times New Roman" w:hAnsi="Times New Roman"/>
                <w:color w:val="000000"/>
                <w:sz w:val="24"/>
              </w:rPr>
              <w:t>2016</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right"/>
              <w:rPr>
                <w:rFonts w:ascii="Times New Roman" w:hAnsi="Times New Roman"/>
                <w:color w:val="000000"/>
                <w:sz w:val="24"/>
              </w:rPr>
            </w:pPr>
            <w:r>
              <w:rPr>
                <w:rFonts w:ascii="Times New Roman" w:hAnsi="Times New Roman"/>
                <w:color w:val="000000"/>
                <w:sz w:val="24"/>
              </w:rPr>
              <w:t>1615 db</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left"/>
              <w:rPr>
                <w:rFonts w:ascii="Times New Roman" w:hAnsi="Times New Roman"/>
                <w:color w:val="000000"/>
                <w:sz w:val="24"/>
              </w:rPr>
            </w:pPr>
            <w:r>
              <w:rPr>
                <w:rFonts w:ascii="Times New Roman" w:hAnsi="Times New Roman"/>
                <w:color w:val="000000"/>
                <w:sz w:val="24"/>
              </w:rPr>
              <w:t>2017</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right"/>
              <w:rPr>
                <w:rFonts w:ascii="Times New Roman" w:hAnsi="Times New Roman"/>
                <w:color w:val="000000"/>
                <w:sz w:val="24"/>
              </w:rPr>
            </w:pPr>
            <w:r>
              <w:rPr>
                <w:rFonts w:ascii="Times New Roman" w:hAnsi="Times New Roman"/>
                <w:color w:val="000000"/>
                <w:sz w:val="24"/>
              </w:rPr>
              <w:t>1678 db</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left"/>
              <w:rPr>
                <w:rFonts w:ascii="Times New Roman" w:hAnsi="Times New Roman"/>
                <w:color w:val="000000"/>
                <w:sz w:val="24"/>
              </w:rPr>
            </w:pPr>
            <w:r>
              <w:rPr>
                <w:rFonts w:ascii="Times New Roman" w:hAnsi="Times New Roman"/>
                <w:color w:val="000000"/>
                <w:sz w:val="24"/>
              </w:rPr>
              <w:t>2018</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right"/>
              <w:rPr>
                <w:rFonts w:ascii="Times New Roman" w:hAnsi="Times New Roman"/>
                <w:color w:val="000000"/>
                <w:sz w:val="24"/>
              </w:rPr>
            </w:pPr>
            <w:r>
              <w:rPr>
                <w:rFonts w:ascii="Times New Roman" w:hAnsi="Times New Roman"/>
                <w:color w:val="000000"/>
                <w:sz w:val="24"/>
              </w:rPr>
              <w:t>1404 db</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left"/>
              <w:rPr>
                <w:rFonts w:ascii="Times New Roman" w:hAnsi="Times New Roman"/>
                <w:color w:val="000000"/>
                <w:sz w:val="24"/>
              </w:rPr>
            </w:pPr>
            <w:r>
              <w:rPr>
                <w:rFonts w:ascii="Times New Roman" w:hAnsi="Times New Roman"/>
                <w:color w:val="000000"/>
                <w:sz w:val="24"/>
              </w:rPr>
              <w:t>2019</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right"/>
              <w:rPr>
                <w:rFonts w:ascii="Times New Roman" w:hAnsi="Times New Roman"/>
                <w:color w:val="000000"/>
                <w:sz w:val="24"/>
              </w:rPr>
            </w:pPr>
            <w:r>
              <w:rPr>
                <w:rFonts w:ascii="Times New Roman" w:hAnsi="Times New Roman"/>
                <w:color w:val="000000"/>
                <w:sz w:val="24"/>
              </w:rPr>
              <w:t xml:space="preserve">1488 db </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left"/>
              <w:rPr>
                <w:rFonts w:ascii="Times New Roman" w:hAnsi="Times New Roman"/>
                <w:color w:val="000000"/>
                <w:sz w:val="24"/>
              </w:rPr>
            </w:pPr>
            <w:r>
              <w:rPr>
                <w:rFonts w:ascii="Times New Roman" w:hAnsi="Times New Roman"/>
                <w:color w:val="000000"/>
                <w:sz w:val="24"/>
              </w:rPr>
              <w:t>2020</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right"/>
              <w:rPr>
                <w:rFonts w:ascii="Times New Roman" w:hAnsi="Times New Roman"/>
                <w:color w:val="000000"/>
                <w:sz w:val="24"/>
              </w:rPr>
            </w:pPr>
            <w:r>
              <w:rPr>
                <w:rFonts w:ascii="Times New Roman" w:hAnsi="Times New Roman"/>
                <w:color w:val="000000"/>
                <w:sz w:val="24"/>
              </w:rPr>
              <w:t xml:space="preserve">1583 db </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Forrás: Önkormányzati adatgyűjtés</w:t>
      </w:r>
    </w:p>
    <w:p w:rsidR="00795A46" w:rsidRDefault="00795A46" w:rsidP="00795A46">
      <w:pPr>
        <w:jc w:val="left"/>
        <w:rPr>
          <w:rFonts w:ascii="Times New Roman" w:hAnsi="Times New Roman"/>
          <w:szCs w:val="22"/>
        </w:rPr>
      </w:pPr>
    </w:p>
    <w:p w:rsidR="00795A46" w:rsidRDefault="00795A46" w:rsidP="00795A46">
      <w:pPr>
        <w:jc w:val="left"/>
        <w:rPr>
          <w:rFonts w:ascii="Times New Roman" w:hAnsi="Times New Roman"/>
        </w:rPr>
      </w:pPr>
    </w:p>
    <w:p w:rsidR="00795A46" w:rsidRDefault="00795A46" w:rsidP="00795A46">
      <w:pPr>
        <w:jc w:val="left"/>
        <w:rPr>
          <w:rFonts w:ascii="Times New Roman" w:hAnsi="Times New Roman"/>
          <w:sz w:val="24"/>
        </w:rPr>
      </w:pPr>
      <w:r>
        <w:rPr>
          <w:rFonts w:ascii="Times New Roman" w:hAnsi="Times New Roman"/>
          <w:sz w:val="24"/>
          <w:highlight w:val="green"/>
        </w:rPr>
        <w:t>3.1. számú táblázat - Jövedelmi helyzet</w:t>
      </w:r>
    </w:p>
    <w:p w:rsidR="00795A46" w:rsidRDefault="00795A46" w:rsidP="00795A46">
      <w:pPr>
        <w:jc w:val="left"/>
        <w:rPr>
          <w:rFonts w:ascii="Times New Roman" w:hAnsi="Times New Roman"/>
          <w:szCs w:val="22"/>
        </w:rPr>
      </w:pPr>
    </w:p>
    <w:tbl>
      <w:tblPr>
        <w:tblW w:w="5980" w:type="dxa"/>
        <w:tblInd w:w="-68" w:type="dxa"/>
        <w:tblCellMar>
          <w:left w:w="70" w:type="dxa"/>
          <w:right w:w="70" w:type="dxa"/>
        </w:tblCellMar>
        <w:tblLook w:val="00A0" w:firstRow="1" w:lastRow="0" w:firstColumn="1" w:lastColumn="0" w:noHBand="0" w:noVBand="0"/>
      </w:tblPr>
      <w:tblGrid>
        <w:gridCol w:w="1320"/>
        <w:gridCol w:w="2000"/>
        <w:gridCol w:w="2660"/>
      </w:tblGrid>
      <w:tr w:rsidR="00795A46" w:rsidTr="00795A46">
        <w:trPr>
          <w:trHeight w:val="1725"/>
        </w:trPr>
        <w:tc>
          <w:tcPr>
            <w:tcW w:w="1320" w:type="dxa"/>
            <w:vMerge w:val="restart"/>
            <w:tcBorders>
              <w:top w:val="single" w:sz="4" w:space="0" w:color="auto"/>
              <w:left w:val="single" w:sz="4" w:space="0" w:color="auto"/>
              <w:bottom w:val="single" w:sz="4" w:space="0" w:color="000000"/>
              <w:right w:val="single" w:sz="4" w:space="0" w:color="auto"/>
            </w:tcBorders>
            <w:shd w:val="clear" w:color="auto" w:fill="E2EFDA"/>
            <w:noWrap/>
            <w:vAlign w:val="bottom"/>
            <w:hideMark/>
          </w:tcPr>
          <w:p w:rsidR="00795A46" w:rsidRDefault="00795A46">
            <w:pPr>
              <w:suppressAutoHyphens w:val="0"/>
              <w:jc w:val="center"/>
              <w:rPr>
                <w:rFonts w:cs="Calibri"/>
                <w:b/>
                <w:bCs/>
                <w:lang w:eastAsia="hu-HU"/>
              </w:rPr>
            </w:pPr>
            <w:r>
              <w:rPr>
                <w:b/>
                <w:bCs/>
                <w:lang w:eastAsia="hu-HU"/>
              </w:rPr>
              <w:t>Év</w:t>
            </w:r>
          </w:p>
        </w:tc>
        <w:tc>
          <w:tcPr>
            <w:tcW w:w="200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Az SZJA adófizetők </w:t>
            </w:r>
            <w:r>
              <w:rPr>
                <w:b/>
                <w:bCs/>
                <w:lang w:eastAsia="hu-HU"/>
              </w:rPr>
              <w:br/>
              <w:t>száma</w:t>
            </w:r>
          </w:p>
        </w:tc>
        <w:tc>
          <w:tcPr>
            <w:tcW w:w="266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Az SZJA adófizetők közül a 0-1 millió forintos jövedelemsávba tartozók </w:t>
            </w:r>
          </w:p>
        </w:tc>
      </w:tr>
      <w:tr w:rsidR="00795A46" w:rsidTr="00795A46">
        <w:trPr>
          <w:trHeight w:val="64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jc w:val="left"/>
              <w:rPr>
                <w:b/>
                <w:bCs/>
                <w:szCs w:val="22"/>
                <w:lang w:eastAsia="hu-HU"/>
              </w:rPr>
            </w:pPr>
          </w:p>
        </w:tc>
        <w:tc>
          <w:tcPr>
            <w:tcW w:w="2000"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az állandó népesség</w:t>
            </w:r>
            <w:r>
              <w:rPr>
                <w:b/>
                <w:bCs/>
                <w:lang w:eastAsia="hu-HU"/>
              </w:rPr>
              <w:br/>
              <w:t xml:space="preserve"> %-ában </w:t>
            </w:r>
            <w:r>
              <w:rPr>
                <w:lang w:eastAsia="hu-HU"/>
              </w:rPr>
              <w:t>(TS 059)</w:t>
            </w:r>
          </w:p>
        </w:tc>
        <w:tc>
          <w:tcPr>
            <w:tcW w:w="2660"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az állandó népesség %-ában </w:t>
            </w:r>
            <w:r>
              <w:rPr>
                <w:lang w:eastAsia="hu-HU"/>
              </w:rPr>
              <w:t>(TS 060)</w:t>
            </w:r>
          </w:p>
        </w:tc>
      </w:tr>
      <w:tr w:rsidR="00795A46" w:rsidTr="00795A46">
        <w:trPr>
          <w:trHeight w:val="420"/>
        </w:trPr>
        <w:tc>
          <w:tcPr>
            <w:tcW w:w="13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20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48,11</w:t>
            </w:r>
          </w:p>
        </w:tc>
        <w:tc>
          <w:tcPr>
            <w:tcW w:w="2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35,45</w:t>
            </w:r>
          </w:p>
        </w:tc>
      </w:tr>
      <w:tr w:rsidR="00795A46" w:rsidTr="00795A46">
        <w:trPr>
          <w:trHeight w:val="300"/>
        </w:trPr>
        <w:tc>
          <w:tcPr>
            <w:tcW w:w="13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20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51,07</w:t>
            </w:r>
          </w:p>
        </w:tc>
        <w:tc>
          <w:tcPr>
            <w:tcW w:w="2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34,20</w:t>
            </w:r>
          </w:p>
        </w:tc>
      </w:tr>
      <w:tr w:rsidR="00795A46" w:rsidTr="00795A46">
        <w:trPr>
          <w:trHeight w:val="300"/>
        </w:trPr>
        <w:tc>
          <w:tcPr>
            <w:tcW w:w="13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20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50,84</w:t>
            </w:r>
          </w:p>
        </w:tc>
        <w:tc>
          <w:tcPr>
            <w:tcW w:w="2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30,51</w:t>
            </w:r>
          </w:p>
        </w:tc>
      </w:tr>
      <w:tr w:rsidR="00795A46" w:rsidTr="00795A46">
        <w:trPr>
          <w:trHeight w:val="300"/>
        </w:trPr>
        <w:tc>
          <w:tcPr>
            <w:tcW w:w="13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20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52,34</w:t>
            </w:r>
          </w:p>
        </w:tc>
        <w:tc>
          <w:tcPr>
            <w:tcW w:w="2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28,12</w:t>
            </w:r>
          </w:p>
        </w:tc>
      </w:tr>
      <w:tr w:rsidR="00795A46" w:rsidTr="00795A46">
        <w:trPr>
          <w:trHeight w:val="300"/>
        </w:trPr>
        <w:tc>
          <w:tcPr>
            <w:tcW w:w="13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20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52,73</w:t>
            </w:r>
          </w:p>
        </w:tc>
        <w:tc>
          <w:tcPr>
            <w:tcW w:w="2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26,27</w:t>
            </w:r>
          </w:p>
        </w:tc>
      </w:tr>
      <w:tr w:rsidR="00795A46" w:rsidTr="00795A46">
        <w:trPr>
          <w:trHeight w:val="300"/>
        </w:trPr>
        <w:tc>
          <w:tcPr>
            <w:tcW w:w="13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20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2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bl>
    <w:p w:rsidR="00795A46" w:rsidRDefault="00795A46" w:rsidP="00795A46">
      <w:pPr>
        <w:jc w:val="left"/>
        <w:rPr>
          <w:rFonts w:ascii="Times New Roman" w:hAnsi="Times New Roman"/>
          <w:szCs w:val="22"/>
        </w:rPr>
      </w:pPr>
    </w:p>
    <w:p w:rsidR="00795A46" w:rsidRDefault="00795A46" w:rsidP="00795A46">
      <w:pPr>
        <w:jc w:val="left"/>
        <w:rPr>
          <w:rFonts w:ascii="Times New Roman" w:hAnsi="Times New Roman"/>
          <w:sz w:val="24"/>
        </w:rPr>
      </w:pPr>
      <w:r>
        <w:rPr>
          <w:rFonts w:ascii="Times New Roman" w:hAnsi="Times New Roman"/>
          <w:sz w:val="24"/>
        </w:rPr>
        <w:t>Forrás: TeIR, KSH-TSTAR</w:t>
      </w:r>
    </w:p>
    <w:p w:rsidR="00795A46" w:rsidRDefault="00795A46" w:rsidP="00795A46">
      <w:pPr>
        <w:jc w:val="left"/>
        <w:rPr>
          <w:rFonts w:ascii="Times New Roman" w:hAnsi="Times New Roman"/>
          <w:szCs w:val="22"/>
        </w:rPr>
      </w:pPr>
    </w:p>
    <w:p w:rsidR="00795A46" w:rsidRDefault="00795A46" w:rsidP="00795A46">
      <w:pPr>
        <w:jc w:val="left"/>
        <w:rPr>
          <w:rFonts w:ascii="Times New Roman" w:hAnsi="Times New Roman"/>
        </w:rPr>
      </w:pPr>
      <w:r>
        <w:rPr>
          <w:noProof/>
          <w:lang w:eastAsia="hu-HU"/>
        </w:rPr>
        <w:drawing>
          <wp:inline distT="0" distB="0" distL="0" distR="0" wp14:anchorId="6C5A004B" wp14:editId="53CA32A8">
            <wp:extent cx="3838575" cy="2971800"/>
            <wp:effectExtent l="0" t="0" r="9525" b="0"/>
            <wp:docPr id="22" name="Diagram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A fenti táblázatban bemutatjuk, hogy a települési állandó népességnek körülbelül a fele az elmúlt öt évben SZJA adófizető volt, tehát adóköteles jövedelmet szerző magánszemély. Sajnos azonban ennek a csoportnak a negyede még 2018-ban is olyan személyekből állt, akiknek az éves összes adózott jövedelme nem érte el az egymillió forintot. Bíztató ugyanakkor, hogy az adófizetőknek ez a legalacsonyabb jövedelmi sávba tartozó rétege a fenti öt évet vizsgálva 10%-ot csökkent, tehát az összes adózó 35%-áról 25%-ára zuhant. Ez azt jelenti, hogy a csorvási SZJA fizető, jövedelemszerző tevékenységet folytató magánszemélyek tíz százalékának sikerült javítania jövedelmi helyzetén, és ezzel éves szinten egy millió forintot meghaladó jövedelmet szerez, ugyanakkor azt is, hogy a munkavállalók számára elérhető jövedelemi szintek emelkedtek.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r>
        <w:rPr>
          <w:rFonts w:ascii="Times New Roman" w:hAnsi="Times New Roman"/>
          <w:b/>
          <w:bCs/>
          <w:sz w:val="24"/>
        </w:rPr>
        <w:t>3.2 Foglalkoztatottság, munkaerő-piaci integráció</w:t>
      </w:r>
    </w:p>
    <w:p w:rsidR="00795A46" w:rsidRDefault="00795A46" w:rsidP="00795A46">
      <w:pPr>
        <w:pStyle w:val="NormlCalibri11"/>
        <w:pBdr>
          <w:top w:val="none" w:sz="0" w:space="0" w:color="auto"/>
          <w:left w:val="none" w:sz="0" w:space="0" w:color="auto"/>
          <w:bottom w:val="none" w:sz="0" w:space="0" w:color="auto"/>
          <w:right w:val="none" w:sz="0" w:space="0" w:color="auto"/>
        </w:pBdr>
        <w:ind w:left="-142"/>
        <w:rPr>
          <w:rFonts w:ascii="Times New Roman" w:hAnsi="Times New Roman"/>
          <w:sz w:val="24"/>
        </w:rPr>
      </w:pPr>
      <w:r>
        <w:rPr>
          <w:rFonts w:ascii="Times New Roman" w:hAnsi="Times New Roman"/>
          <w:b/>
          <w:bCs/>
          <w:sz w:val="24"/>
        </w:rPr>
        <w:br/>
      </w:r>
      <w:r>
        <w:rPr>
          <w:rFonts w:ascii="Times New Roman" w:hAnsi="Times New Roman"/>
          <w:sz w:val="24"/>
        </w:rPr>
        <w:t xml:space="preserve">A táblázatokba gyűjtött adatok, valamint a helyi önkormányzat a foglalkoztatás elősegítéséről és a munkanélküliek ellátásáról szóló 1991. évi IV. törvény (továbbiakban: Flt.) és a Mötv-ben foglalt feladatai alapján településünkre jellemző foglalkoztatottságot, munkaerő-piaci lehetőségeket kívánjuk elemezni az elmúlt évek változásainak bemutatásával, a különböző korosztályok, illetve nemek szerinti bontásban. </w:t>
      </w:r>
    </w:p>
    <w:p w:rsidR="00795A46" w:rsidRDefault="00795A46" w:rsidP="00795A46">
      <w:pPr>
        <w:pStyle w:val="NormlWeb"/>
        <w:spacing w:before="0" w:after="0"/>
        <w:rPr>
          <w:rFonts w:ascii="Times New Roman" w:hAnsi="Times New Roman" w:cs="Times New Roman"/>
          <w:sz w:val="24"/>
          <w:szCs w:val="24"/>
        </w:rPr>
      </w:pPr>
      <w:r>
        <w:rPr>
          <w:rFonts w:ascii="Times New Roman" w:hAnsi="Times New Roman" w:cs="Times New Roman"/>
          <w:sz w:val="24"/>
          <w:szCs w:val="24"/>
        </w:rPr>
        <w:t>A foglalkoztatás elősegítéséről és a munkanélküliek ellátásáról szóló 1991. évi IV. törvényhelyi önkormányzat az Flt. 8. § (4) bekezdésében foglaltak szerint a külön törvényben meghatározott foglalkoztatási feladatainak ellátása során</w:t>
      </w:r>
    </w:p>
    <w:p w:rsidR="00795A46" w:rsidRDefault="00795A46" w:rsidP="00795A46">
      <w:pPr>
        <w:pStyle w:val="NormlWeb"/>
        <w:spacing w:before="0" w:after="0"/>
        <w:ind w:left="360"/>
        <w:rPr>
          <w:rFonts w:ascii="Times New Roman" w:hAnsi="Times New Roman" w:cs="Times New Roman"/>
          <w:sz w:val="24"/>
          <w:szCs w:val="24"/>
        </w:rPr>
      </w:pPr>
      <w:r>
        <w:rPr>
          <w:rFonts w:ascii="Times New Roman" w:hAnsi="Times New Roman" w:cs="Times New Roman"/>
          <w:sz w:val="24"/>
          <w:szCs w:val="24"/>
        </w:rPr>
        <w:t>a)</w:t>
      </w:r>
      <w:bookmarkStart w:id="31" w:name="foot_38_place"/>
      <w:bookmarkEnd w:id="31"/>
      <w:r>
        <w:rPr>
          <w:rFonts w:ascii="Times New Roman" w:hAnsi="Times New Roman" w:cs="Times New Roman"/>
          <w:sz w:val="24"/>
          <w:szCs w:val="24"/>
        </w:rPr>
        <w:t xml:space="preserve"> külön jogszabályban meghatározott közfoglalkoztatást szervez,</w:t>
      </w:r>
    </w:p>
    <w:p w:rsidR="00795A46" w:rsidRDefault="00795A46" w:rsidP="00795A46">
      <w:pPr>
        <w:pStyle w:val="NormlWeb"/>
        <w:spacing w:before="0" w:after="0"/>
        <w:ind w:left="360"/>
        <w:rPr>
          <w:rFonts w:ascii="Times New Roman" w:hAnsi="Times New Roman" w:cs="Times New Roman"/>
          <w:sz w:val="24"/>
          <w:szCs w:val="24"/>
        </w:rPr>
      </w:pPr>
      <w:r>
        <w:rPr>
          <w:rFonts w:ascii="Times New Roman" w:hAnsi="Times New Roman" w:cs="Times New Roman"/>
          <w:sz w:val="24"/>
          <w:szCs w:val="24"/>
        </w:rPr>
        <w:t>b) figyelemmel kíséri a helyi foglalkoztatási viszonyok alakulását,</w:t>
      </w:r>
    </w:p>
    <w:p w:rsidR="00795A46" w:rsidRDefault="00795A46" w:rsidP="00795A46">
      <w:pPr>
        <w:pStyle w:val="NormlWeb"/>
        <w:spacing w:before="0" w:after="0"/>
        <w:ind w:left="360"/>
        <w:rPr>
          <w:rFonts w:ascii="Times New Roman" w:hAnsi="Times New Roman" w:cs="Times New Roman"/>
          <w:sz w:val="24"/>
          <w:szCs w:val="24"/>
        </w:rPr>
      </w:pPr>
      <w:r>
        <w:rPr>
          <w:rFonts w:ascii="Times New Roman" w:hAnsi="Times New Roman" w:cs="Times New Roman"/>
          <w:sz w:val="24"/>
          <w:szCs w:val="24"/>
        </w:rPr>
        <w:t>c)</w:t>
      </w:r>
      <w:bookmarkStart w:id="32" w:name="foot_39_place"/>
      <w:bookmarkEnd w:id="32"/>
      <w:r>
        <w:rPr>
          <w:rFonts w:ascii="Times New Roman" w:hAnsi="Times New Roman" w:cs="Times New Roman"/>
          <w:sz w:val="24"/>
          <w:szCs w:val="24"/>
        </w:rPr>
        <w:t xml:space="preserve"> döntéseinek előkészítése, valamint végrehajtása során figyelembe veszi azok foglalkoztatáspolitikai következményeit,</w:t>
      </w:r>
    </w:p>
    <w:p w:rsidR="00795A46" w:rsidRDefault="00795A46" w:rsidP="00795A46">
      <w:pPr>
        <w:pStyle w:val="NormlWeb"/>
        <w:spacing w:before="0" w:after="0"/>
        <w:ind w:left="360"/>
        <w:rPr>
          <w:rFonts w:ascii="Times New Roman" w:hAnsi="Times New Roman" w:cs="Times New Roman"/>
          <w:sz w:val="24"/>
          <w:szCs w:val="24"/>
        </w:rPr>
      </w:pPr>
      <w:r>
        <w:rPr>
          <w:rFonts w:ascii="Times New Roman" w:hAnsi="Times New Roman" w:cs="Times New Roman"/>
          <w:sz w:val="24"/>
          <w:szCs w:val="24"/>
        </w:rPr>
        <w:t>d)</w:t>
      </w:r>
      <w:bookmarkStart w:id="33" w:name="foot_41_place"/>
      <w:bookmarkEnd w:id="33"/>
    </w:p>
    <w:p w:rsidR="00795A46" w:rsidRDefault="00795A46" w:rsidP="00795A46">
      <w:pPr>
        <w:pStyle w:val="NormlWeb"/>
        <w:spacing w:before="0" w:after="0"/>
        <w:ind w:left="360"/>
        <w:rPr>
          <w:rFonts w:ascii="Times New Roman" w:hAnsi="Times New Roman" w:cs="Times New Roman"/>
          <w:sz w:val="24"/>
          <w:szCs w:val="24"/>
        </w:rPr>
      </w:pPr>
      <w:r>
        <w:rPr>
          <w:rFonts w:ascii="Times New Roman" w:hAnsi="Times New Roman" w:cs="Times New Roman"/>
          <w:sz w:val="24"/>
          <w:szCs w:val="24"/>
        </w:rPr>
        <w:t>e) az állami foglalkoztatási szerv működési feltételeihez és fejlesztéséhez támogatást nyújt.</w:t>
      </w:r>
    </w:p>
    <w:p w:rsidR="00795A46" w:rsidRDefault="00795A46" w:rsidP="00795A46">
      <w:pP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A helyi önkormányzat a Mötv. 15. §-a szerint feladat- és hatásköreinek ellátása során – törvényben meghatározott módon és mértékben – biztosítja a közfoglalkoztatási jogviszonyban lévő személy feladatellátásba történő bevonását.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Web"/>
        <w:spacing w:before="0" w:after="0"/>
        <w:rPr>
          <w:rFonts w:ascii="Times New Roman" w:hAnsi="Times New Roman" w:cs="Times New Roman"/>
          <w:sz w:val="24"/>
          <w:szCs w:val="24"/>
        </w:rPr>
      </w:pPr>
      <w:r>
        <w:rPr>
          <w:rFonts w:ascii="Times New Roman" w:hAnsi="Times New Roman" w:cs="Times New Roman"/>
          <w:sz w:val="24"/>
          <w:szCs w:val="24"/>
        </w:rPr>
        <w:t xml:space="preserve">Az </w:t>
      </w:r>
      <w:r>
        <w:rPr>
          <w:rFonts w:ascii="Times New Roman" w:hAnsi="Times New Roman" w:cs="Times New Roman"/>
          <w:b/>
          <w:bCs/>
          <w:sz w:val="24"/>
          <w:szCs w:val="24"/>
        </w:rPr>
        <w:t xml:space="preserve">Ebktv. 21. § - 23. §-ai </w:t>
      </w:r>
      <w:r>
        <w:rPr>
          <w:rFonts w:ascii="Times New Roman" w:hAnsi="Times New Roman" w:cs="Times New Roman"/>
          <w:sz w:val="24"/>
          <w:szCs w:val="24"/>
        </w:rPr>
        <w:t xml:space="preserve">rögzítik, hogy egyenlő bánásmód követelményének sérelmét jelenti különösen, ha a munkáltató a munkavállalóval szemben közvetlen vagy közvetett hátrányos megkülönböztetést alkalmaz pl. a munkához jutás során, a munkához jutás felvételi eljárása keretében stb.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Előfordulnak olyan speciális helyzetek, amikor indokolt, hogy a munkáltató különbséget tegyen helyzetük, tulajdonságuk, jellemzőjük alapján a munkavállalók között, ezért az Ebktv. értelmében nem minősül az egyenlő bánásmód követelménye megsértésének, ha az a munka jellege vagy természete alapján indokolt, az alkalmazásnál számba vehető minden lényeges és jogszerű feltételre alapított arányos megkülönböztetés. A 23. § biztosítja annak a lehetőségét, hogy törvény, kormányrendelet, illetve kollektív szerződés a munkavállalók meghatározott körére – a foglalkoztatási jogviszonnyal vagy a munkavégzésre irányuló egyéb jogviszonnyal összefüggésben – eltérjen az egyenlő bánásmód követelményétől, amennyiben ennek célja valamely hátrányosabb helyzetű csoporttal kapcsolatban előnyben részesítési szabályok meghatározása, pozitív diszkrimináció alkalmazása.</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numPr>
          <w:ilvl w:val="0"/>
          <w:numId w:val="9"/>
        </w:numPr>
        <w:pBdr>
          <w:top w:val="none" w:sz="0" w:space="0" w:color="auto"/>
          <w:left w:val="none" w:sz="0" w:space="0" w:color="auto"/>
          <w:bottom w:val="none" w:sz="0" w:space="0" w:color="auto"/>
          <w:right w:val="none" w:sz="0" w:space="0" w:color="auto"/>
        </w:pBdr>
        <w:rPr>
          <w:rFonts w:ascii="Times New Roman" w:hAnsi="Times New Roman"/>
          <w:b/>
          <w:bCs/>
          <w:sz w:val="24"/>
        </w:rPr>
      </w:pPr>
      <w:r>
        <w:rPr>
          <w:rFonts w:ascii="Times New Roman" w:hAnsi="Times New Roman"/>
          <w:b/>
          <w:bCs/>
          <w:sz w:val="24"/>
        </w:rPr>
        <w:t>foglalkoztatottak, munkanélküliek, tartós munkanélküliek száma, aránya</w:t>
      </w:r>
    </w:p>
    <w:p w:rsidR="00795A46" w:rsidRDefault="00795A46" w:rsidP="00795A46">
      <w:pPr>
        <w:pStyle w:val="NormlCalibri11"/>
        <w:pBdr>
          <w:top w:val="none" w:sz="0" w:space="0" w:color="auto"/>
          <w:left w:val="none" w:sz="0" w:space="0" w:color="auto"/>
          <w:bottom w:val="none" w:sz="0" w:space="0" w:color="auto"/>
          <w:right w:val="none" w:sz="0" w:space="0" w:color="auto"/>
        </w:pBdr>
        <w:ind w:left="360"/>
        <w:rPr>
          <w:rFonts w:ascii="Times New Roman" w:hAnsi="Times New Roman"/>
          <w:b/>
          <w:bCs/>
          <w:sz w:val="24"/>
        </w:rPr>
      </w:pPr>
    </w:p>
    <w:p w:rsidR="00795A46" w:rsidRDefault="00795A46" w:rsidP="00795A46">
      <w:pPr>
        <w:ind w:firstLine="360"/>
        <w:rPr>
          <w:rFonts w:ascii="Times New Roman" w:hAnsi="Times New Roman"/>
          <w:color w:val="000000"/>
          <w:sz w:val="24"/>
        </w:rPr>
      </w:pPr>
      <w:r>
        <w:rPr>
          <w:rFonts w:ascii="Times New Roman" w:hAnsi="Times New Roman"/>
          <w:color w:val="000000"/>
          <w:sz w:val="24"/>
        </w:rPr>
        <w:t>Ezek az adatok arra mutatnak rá, hogy a teljes lakónépességhez képest milyen arányú a nyilvántartott foglalkoztatottak, munkanélküliek, tartós munkanélküliek száma, ez miként változott az elmúlt években, illetve, hogy milyen az arány a férfiak és nők között a vizsgált területen. Meg kell vizsgálni az adatok alakulásának tendenciáit és összefüggésbe hozni a település gazdasági mutatóinak alakulásával. Át kell gondolni, hogy a tendenciák, valamint a településen jelenleg érvényesülő gazdasági folyamatok milyen jövőbeli kilátásokat hordoznak magukban.</w:t>
      </w:r>
    </w:p>
    <w:p w:rsidR="00795A46" w:rsidRDefault="00795A46" w:rsidP="00795A46">
      <w:pPr>
        <w:ind w:firstLine="360"/>
        <w:rPr>
          <w:rFonts w:ascii="Times New Roman" w:hAnsi="Times New Roman"/>
          <w:color w:val="000000"/>
          <w:sz w:val="24"/>
        </w:rPr>
      </w:pPr>
    </w:p>
    <w:p w:rsidR="00795A46" w:rsidRDefault="00795A46" w:rsidP="00795A46">
      <w:pPr>
        <w:pStyle w:val="Tblacm"/>
        <w:jc w:val="left"/>
        <w:rPr>
          <w:rFonts w:ascii="Times New Roman" w:hAnsi="Times New Roman"/>
          <w:sz w:val="24"/>
          <w:szCs w:val="24"/>
          <w:shd w:val="clear" w:color="auto" w:fill="00FF00"/>
        </w:rPr>
      </w:pPr>
      <w:bookmarkStart w:id="34" w:name="__RefHeading__53_1906745769"/>
      <w:bookmarkEnd w:id="34"/>
      <w:r>
        <w:rPr>
          <w:rFonts w:ascii="Times New Roman" w:hAnsi="Times New Roman"/>
          <w:sz w:val="24"/>
          <w:szCs w:val="24"/>
          <w:shd w:val="clear" w:color="auto" w:fill="00FF00"/>
        </w:rPr>
        <w:t>3.2.1. számú táblázat – Munkanélküliségi ráta nemek szerint</w:t>
      </w:r>
    </w:p>
    <w:p w:rsidR="00795A46" w:rsidRDefault="00795A46" w:rsidP="00795A46">
      <w:pPr>
        <w:pStyle w:val="Tblacm"/>
        <w:jc w:val="left"/>
        <w:rPr>
          <w:rFonts w:ascii="Times New Roman" w:hAnsi="Times New Roman"/>
          <w:sz w:val="24"/>
          <w:szCs w:val="24"/>
        </w:rPr>
      </w:pPr>
    </w:p>
    <w:tbl>
      <w:tblPr>
        <w:tblW w:w="5900" w:type="dxa"/>
        <w:tblInd w:w="-68" w:type="dxa"/>
        <w:tblCellMar>
          <w:left w:w="70" w:type="dxa"/>
          <w:right w:w="70" w:type="dxa"/>
        </w:tblCellMar>
        <w:tblLook w:val="00A0" w:firstRow="1" w:lastRow="0" w:firstColumn="1" w:lastColumn="0" w:noHBand="0" w:noVBand="0"/>
      </w:tblPr>
      <w:tblGrid>
        <w:gridCol w:w="1000"/>
        <w:gridCol w:w="1680"/>
        <w:gridCol w:w="1660"/>
        <w:gridCol w:w="1560"/>
      </w:tblGrid>
      <w:tr w:rsidR="00795A46" w:rsidTr="00795A46">
        <w:trPr>
          <w:trHeight w:val="1725"/>
        </w:trPr>
        <w:tc>
          <w:tcPr>
            <w:tcW w:w="1000" w:type="dxa"/>
            <w:vMerge w:val="restart"/>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jc w:val="center"/>
              <w:rPr>
                <w:rFonts w:cs="Calibri"/>
                <w:b/>
                <w:bCs/>
                <w:szCs w:val="22"/>
                <w:lang w:eastAsia="hu-HU"/>
              </w:rPr>
            </w:pPr>
            <w:r>
              <w:rPr>
                <w:b/>
                <w:bCs/>
                <w:lang w:eastAsia="hu-HU"/>
              </w:rPr>
              <w:t>Év </w:t>
            </w:r>
          </w:p>
        </w:tc>
        <w:tc>
          <w:tcPr>
            <w:tcW w:w="4900" w:type="dxa"/>
            <w:gridSpan w:val="3"/>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Nyilvántartott álláskeresők aránya az </w:t>
            </w:r>
            <w:r>
              <w:rPr>
                <w:b/>
                <w:bCs/>
                <w:lang w:eastAsia="hu-HU"/>
              </w:rPr>
              <w:br/>
              <w:t>állandó népességben a 15-64 évesek körében</w:t>
            </w:r>
          </w:p>
        </w:tc>
      </w:tr>
      <w:tr w:rsidR="00795A46" w:rsidTr="00795A46">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1680"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Férfiak aránya </w:t>
            </w:r>
            <w:r>
              <w:rPr>
                <w:b/>
                <w:bCs/>
                <w:lang w:eastAsia="hu-HU"/>
              </w:rPr>
              <w:br/>
            </w:r>
            <w:r>
              <w:rPr>
                <w:lang w:eastAsia="hu-HU"/>
              </w:rPr>
              <w:t>(TS 033)</w:t>
            </w:r>
          </w:p>
        </w:tc>
        <w:tc>
          <w:tcPr>
            <w:tcW w:w="1660"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Nők aránya </w:t>
            </w:r>
            <w:r>
              <w:rPr>
                <w:b/>
                <w:bCs/>
                <w:lang w:eastAsia="hu-HU"/>
              </w:rPr>
              <w:br/>
            </w:r>
            <w:r>
              <w:rPr>
                <w:lang w:eastAsia="hu-HU"/>
              </w:rPr>
              <w:t>(TS 034)</w:t>
            </w:r>
          </w:p>
        </w:tc>
        <w:tc>
          <w:tcPr>
            <w:tcW w:w="156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Összesen</w:t>
            </w:r>
          </w:p>
        </w:tc>
      </w:tr>
      <w:tr w:rsidR="00795A46" w:rsidTr="00795A46">
        <w:trPr>
          <w:trHeight w:val="420"/>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1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3,23%</w:t>
            </w:r>
          </w:p>
        </w:tc>
        <w:tc>
          <w:tcPr>
            <w:tcW w:w="1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5,73%</w:t>
            </w:r>
          </w:p>
        </w:tc>
        <w:tc>
          <w:tcPr>
            <w:tcW w:w="156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4,48%</w:t>
            </w:r>
          </w:p>
        </w:tc>
      </w:tr>
      <w:tr w:rsidR="00795A46" w:rsidTr="00795A46">
        <w:trPr>
          <w:trHeight w:val="300"/>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1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4,10%</w:t>
            </w:r>
          </w:p>
        </w:tc>
        <w:tc>
          <w:tcPr>
            <w:tcW w:w="1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4,22%</w:t>
            </w:r>
          </w:p>
        </w:tc>
        <w:tc>
          <w:tcPr>
            <w:tcW w:w="156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4,16%</w:t>
            </w:r>
          </w:p>
        </w:tc>
      </w:tr>
      <w:tr w:rsidR="00795A46" w:rsidTr="00795A46">
        <w:trPr>
          <w:trHeight w:val="300"/>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1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3,06%</w:t>
            </w:r>
          </w:p>
        </w:tc>
        <w:tc>
          <w:tcPr>
            <w:tcW w:w="1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3,08%</w:t>
            </w:r>
          </w:p>
        </w:tc>
        <w:tc>
          <w:tcPr>
            <w:tcW w:w="156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3,07%</w:t>
            </w:r>
          </w:p>
        </w:tc>
      </w:tr>
      <w:tr w:rsidR="00795A46" w:rsidTr="00795A46">
        <w:trPr>
          <w:trHeight w:val="300"/>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1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3,20%</w:t>
            </w:r>
          </w:p>
        </w:tc>
        <w:tc>
          <w:tcPr>
            <w:tcW w:w="1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3,49%</w:t>
            </w:r>
          </w:p>
        </w:tc>
        <w:tc>
          <w:tcPr>
            <w:tcW w:w="156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3,35%</w:t>
            </w:r>
          </w:p>
        </w:tc>
      </w:tr>
      <w:tr w:rsidR="00795A46" w:rsidTr="00795A46">
        <w:trPr>
          <w:trHeight w:val="300"/>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1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4,43%</w:t>
            </w:r>
          </w:p>
        </w:tc>
        <w:tc>
          <w:tcPr>
            <w:tcW w:w="1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3,42%</w:t>
            </w:r>
          </w:p>
        </w:tc>
        <w:tc>
          <w:tcPr>
            <w:tcW w:w="156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3,93%</w:t>
            </w:r>
          </w:p>
        </w:tc>
      </w:tr>
      <w:tr w:rsidR="00795A46" w:rsidTr="00795A46">
        <w:trPr>
          <w:trHeight w:val="300"/>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1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56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0,00%</w:t>
            </w:r>
          </w:p>
        </w:tc>
      </w:tr>
    </w:tbl>
    <w:p w:rsidR="00795A46" w:rsidRDefault="00795A46" w:rsidP="00795A46">
      <w:pPr>
        <w:jc w:val="left"/>
        <w:rPr>
          <w:rFonts w:ascii="Times New Roman" w:hAnsi="Times New Roman"/>
          <w:color w:val="000000"/>
          <w:sz w:val="24"/>
        </w:rPr>
      </w:pPr>
    </w:p>
    <w:p w:rsidR="00795A46" w:rsidRDefault="00795A46" w:rsidP="00795A46">
      <w:pPr>
        <w:jc w:val="left"/>
        <w:rPr>
          <w:rFonts w:ascii="Times New Roman" w:hAnsi="Times New Roman"/>
          <w:sz w:val="24"/>
        </w:rPr>
      </w:pPr>
      <w:r>
        <w:rPr>
          <w:rFonts w:ascii="Times New Roman" w:hAnsi="Times New Roman"/>
          <w:color w:val="000000"/>
          <w:sz w:val="24"/>
        </w:rPr>
        <w:t>Forrás: TeIR KSH TSTAR</w:t>
      </w:r>
      <w:r>
        <w:rPr>
          <w:rFonts w:ascii="Times New Roman" w:hAnsi="Times New Roman"/>
          <w:color w:val="000000"/>
          <w:sz w:val="24"/>
        </w:rPr>
        <w:br/>
      </w: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Pr>
          <w:noProof/>
          <w:lang w:eastAsia="hu-HU"/>
        </w:rPr>
        <w:drawing>
          <wp:inline distT="0" distB="0" distL="0" distR="0" wp14:anchorId="0F064926" wp14:editId="7F3102C7">
            <wp:extent cx="4467225" cy="2933700"/>
            <wp:effectExtent l="0" t="0" r="9525" b="0"/>
            <wp:docPr id="21" name="Kép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7"/>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7225" cy="2933700"/>
                    </a:xfrm>
                    <a:prstGeom prst="rect">
                      <a:avLst/>
                    </a:prstGeom>
                    <a:noFill/>
                    <a:ln>
                      <a:noFill/>
                    </a:ln>
                  </pic:spPr>
                </pic:pic>
              </a:graphicData>
            </a:graphic>
          </wp:inline>
        </w:drawing>
      </w:r>
    </w:p>
    <w:p w:rsidR="00795A46" w:rsidRDefault="00795A46" w:rsidP="00795A46">
      <w:pPr>
        <w:jc w:val="center"/>
        <w:rPr>
          <w:rFonts w:ascii="Times New Roman" w:hAnsi="Times New Roman"/>
          <w:sz w:val="20"/>
          <w:szCs w:val="20"/>
        </w:rPr>
      </w:pPr>
    </w:p>
    <w:p w:rsidR="00795A46" w:rsidRDefault="00795A46" w:rsidP="00795A46">
      <w:pPr>
        <w:rPr>
          <w:rFonts w:ascii="Times New Roman" w:hAnsi="Times New Roman"/>
          <w:sz w:val="24"/>
        </w:rPr>
      </w:pPr>
      <w:r>
        <w:rPr>
          <w:rFonts w:ascii="Times New Roman" w:hAnsi="Times New Roman"/>
          <w:color w:val="000000"/>
          <w:sz w:val="24"/>
        </w:rPr>
        <w:t>Napjainkban a lakónépesség 4 %-a körül lehet a nyilvántartott álláskeresők száma. A munkanélküliek száma ennél az értéknél magasabb lehet, mivel a munkanélküli ellátásból kikerülők</w:t>
      </w:r>
      <w:r>
        <w:rPr>
          <w:rFonts w:ascii="Times New Roman" w:hAnsi="Times New Roman"/>
          <w:sz w:val="24"/>
        </w:rPr>
        <w:t xml:space="preserve"> egy része nem tartja a kapcsolatot a Foglalkoztatási Osztállyal.</w:t>
      </w:r>
      <w:r>
        <w:rPr>
          <w:rFonts w:ascii="Times New Roman" w:hAnsi="Times New Roman"/>
          <w:color w:val="FF0000"/>
          <w:sz w:val="24"/>
        </w:rPr>
        <w:t xml:space="preserve"> </w:t>
      </w:r>
      <w:r>
        <w:rPr>
          <w:rFonts w:ascii="Times New Roman" w:hAnsi="Times New Roman"/>
          <w:sz w:val="24"/>
        </w:rPr>
        <w:t xml:space="preserve">A foglalkoztatottság Csorváson alacsony, kevés a munkahely, a vállalkozás és nagyobb üzemek, ahol el tudnának helyezkedni a munkanélküliek. </w:t>
      </w:r>
    </w:p>
    <w:p w:rsidR="00795A46" w:rsidRDefault="00795A46" w:rsidP="00795A46">
      <w:pPr>
        <w:rPr>
          <w:rFonts w:ascii="Times New Roman" w:hAnsi="Times New Roman"/>
          <w:sz w:val="24"/>
        </w:rPr>
      </w:pPr>
      <w:r>
        <w:rPr>
          <w:rFonts w:ascii="Times New Roman" w:hAnsi="Times New Roman"/>
          <w:sz w:val="24"/>
        </w:rPr>
        <w:t xml:space="preserve">A környéken lévő nagyobb városok befogadóképességét több csorvási lakos használja ki a foglalkoztatás szempontjából. A munkanélküliségen egy kicsit enyhít a közmunkaprogram, tavasztól őszig pedig alkalmi munkákra van lehetőség a mezőgazdaságban.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A mélyszegénységben élők legnagyobb része csak a 8 általános iskolai osztályt végezte el, nem rendelkeznek szakmával, ezért nehéz a munkaerőpiacba integrálódniuk. Tartós munkahelyet így nehezebb szerezniük, csak idénymunkában vesznek részt.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Tblacm"/>
        <w:rPr>
          <w:rFonts w:ascii="Times New Roman" w:hAnsi="Times New Roman"/>
          <w:sz w:val="24"/>
          <w:szCs w:val="24"/>
          <w:shd w:val="clear" w:color="auto" w:fill="00FF00"/>
        </w:rPr>
      </w:pPr>
      <w:bookmarkStart w:id="35" w:name="__RefHeading__55_1906745769"/>
      <w:bookmarkEnd w:id="35"/>
      <w:r>
        <w:rPr>
          <w:rFonts w:ascii="Times New Roman" w:hAnsi="Times New Roman"/>
          <w:sz w:val="24"/>
          <w:szCs w:val="24"/>
          <w:shd w:val="clear" w:color="auto" w:fill="00FF00"/>
        </w:rPr>
        <w:t>3.2.2. számú táblázat – Nyilvántartott álláskeresők száma korcsoportok szerint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i/>
          <w:iCs/>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A táblázat adatai - különösen az országos és térségi adatokkal összevetésben - rámutathatnak arra, hogy az egyes korosztályokat tekintve elégséges-e a meglévő problémakezelés, vagy további beavatkozásokat szükséges tervezni.</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9799" w:type="dxa"/>
        <w:tblInd w:w="-68" w:type="dxa"/>
        <w:tblCellMar>
          <w:left w:w="70" w:type="dxa"/>
          <w:right w:w="70" w:type="dxa"/>
        </w:tblCellMar>
        <w:tblLook w:val="00A0" w:firstRow="1" w:lastRow="0" w:firstColumn="1" w:lastColumn="0" w:noHBand="0" w:noVBand="0"/>
      </w:tblPr>
      <w:tblGrid>
        <w:gridCol w:w="2730"/>
        <w:gridCol w:w="949"/>
        <w:gridCol w:w="1113"/>
        <w:gridCol w:w="1149"/>
        <w:gridCol w:w="1131"/>
        <w:gridCol w:w="1077"/>
        <w:gridCol w:w="1077"/>
        <w:gridCol w:w="587"/>
      </w:tblGrid>
      <w:tr w:rsidR="00795A46" w:rsidTr="00795A46">
        <w:trPr>
          <w:trHeight w:val="1725"/>
        </w:trPr>
        <w:tc>
          <w:tcPr>
            <w:tcW w:w="2730" w:type="dxa"/>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rsidR="00795A46" w:rsidRDefault="00795A46">
            <w:pPr>
              <w:suppressAutoHyphens w:val="0"/>
              <w:jc w:val="center"/>
              <w:rPr>
                <w:rFonts w:cs="Calibri"/>
                <w:b/>
                <w:bCs/>
                <w:szCs w:val="22"/>
                <w:lang w:eastAsia="hu-HU"/>
              </w:rPr>
            </w:pPr>
            <w:r>
              <w:rPr>
                <w:b/>
                <w:bCs/>
                <w:lang w:eastAsia="hu-HU"/>
              </w:rPr>
              <w:t>Nyilvántartott álláskeresők száma összesen</w:t>
            </w:r>
          </w:p>
        </w:tc>
        <w:tc>
          <w:tcPr>
            <w:tcW w:w="949"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Év</w:t>
            </w:r>
          </w:p>
        </w:tc>
        <w:tc>
          <w:tcPr>
            <w:tcW w:w="1113"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2015</w:t>
            </w:r>
          </w:p>
        </w:tc>
        <w:tc>
          <w:tcPr>
            <w:tcW w:w="1149"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2016</w:t>
            </w:r>
          </w:p>
        </w:tc>
        <w:tc>
          <w:tcPr>
            <w:tcW w:w="1131"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2017</w:t>
            </w:r>
          </w:p>
        </w:tc>
        <w:tc>
          <w:tcPr>
            <w:tcW w:w="1077"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2018</w:t>
            </w:r>
          </w:p>
        </w:tc>
        <w:tc>
          <w:tcPr>
            <w:tcW w:w="1077"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2019</w:t>
            </w:r>
          </w:p>
        </w:tc>
        <w:tc>
          <w:tcPr>
            <w:tcW w:w="573"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2020</w:t>
            </w:r>
          </w:p>
        </w:tc>
      </w:tr>
      <w:tr w:rsidR="00795A46" w:rsidTr="00795A46">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949"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Fő összesen</w:t>
            </w:r>
          </w:p>
        </w:tc>
        <w:tc>
          <w:tcPr>
            <w:tcW w:w="1113"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152</w:t>
            </w:r>
          </w:p>
        </w:tc>
        <w:tc>
          <w:tcPr>
            <w:tcW w:w="1149"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139</w:t>
            </w:r>
          </w:p>
        </w:tc>
        <w:tc>
          <w:tcPr>
            <w:tcW w:w="1131"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102</w:t>
            </w:r>
          </w:p>
        </w:tc>
        <w:tc>
          <w:tcPr>
            <w:tcW w:w="1077"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110</w:t>
            </w:r>
          </w:p>
        </w:tc>
        <w:tc>
          <w:tcPr>
            <w:tcW w:w="1077"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127</w:t>
            </w:r>
          </w:p>
        </w:tc>
        <w:tc>
          <w:tcPr>
            <w:tcW w:w="573"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0</w:t>
            </w:r>
          </w:p>
        </w:tc>
      </w:tr>
      <w:tr w:rsidR="00795A46" w:rsidTr="00795A46">
        <w:trPr>
          <w:trHeight w:val="420"/>
        </w:trPr>
        <w:tc>
          <w:tcPr>
            <w:tcW w:w="2730" w:type="dxa"/>
            <w:vMerge w:val="restart"/>
            <w:tcBorders>
              <w:top w:val="nil"/>
              <w:left w:val="single" w:sz="4" w:space="0" w:color="auto"/>
              <w:bottom w:val="single" w:sz="4" w:space="0" w:color="auto"/>
              <w:right w:val="single" w:sz="4" w:space="0" w:color="auto"/>
            </w:tcBorders>
            <w:shd w:val="clear" w:color="auto" w:fill="FFFFFF"/>
            <w:vAlign w:val="center"/>
            <w:hideMark/>
          </w:tcPr>
          <w:p w:rsidR="00795A46" w:rsidRDefault="00795A46">
            <w:pPr>
              <w:suppressAutoHyphens w:val="0"/>
              <w:jc w:val="center"/>
              <w:rPr>
                <w:b/>
                <w:bCs/>
                <w:lang w:eastAsia="hu-HU"/>
              </w:rPr>
            </w:pPr>
            <w:r>
              <w:rPr>
                <w:b/>
                <w:bCs/>
                <w:lang w:eastAsia="hu-HU"/>
              </w:rPr>
              <w:t xml:space="preserve">20 éves, vagy az alatti </w:t>
            </w:r>
            <w:r>
              <w:rPr>
                <w:b/>
                <w:bCs/>
                <w:lang w:eastAsia="hu-HU"/>
              </w:rPr>
              <w:br/>
            </w:r>
            <w:r>
              <w:rPr>
                <w:lang w:eastAsia="hu-HU"/>
              </w:rPr>
              <w:t>(TS 037)</w:t>
            </w:r>
          </w:p>
        </w:tc>
        <w:tc>
          <w:tcPr>
            <w:tcW w:w="949" w:type="dxa"/>
            <w:tcBorders>
              <w:top w:val="nil"/>
              <w:left w:val="nil"/>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Fő</w:t>
            </w:r>
          </w:p>
        </w:tc>
        <w:tc>
          <w:tcPr>
            <w:tcW w:w="111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6,00</w:t>
            </w:r>
          </w:p>
        </w:tc>
        <w:tc>
          <w:tcPr>
            <w:tcW w:w="114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10,00</w:t>
            </w:r>
          </w:p>
        </w:tc>
        <w:tc>
          <w:tcPr>
            <w:tcW w:w="113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9,00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10,00</w:t>
            </w:r>
          </w:p>
        </w:tc>
        <w:tc>
          <w:tcPr>
            <w:tcW w:w="57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r w:rsidR="00795A46" w:rsidTr="00795A46">
        <w:trPr>
          <w:trHeight w:val="300"/>
        </w:trPr>
        <w:tc>
          <w:tcPr>
            <w:tcW w:w="0" w:type="auto"/>
            <w:vMerge/>
            <w:tcBorders>
              <w:top w:val="nil"/>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949" w:type="dxa"/>
            <w:tcBorders>
              <w:top w:val="nil"/>
              <w:left w:val="nil"/>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w:t>
            </w:r>
          </w:p>
        </w:tc>
        <w:tc>
          <w:tcPr>
            <w:tcW w:w="111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3,95%</w:t>
            </w:r>
          </w:p>
        </w:tc>
        <w:tc>
          <w:tcPr>
            <w:tcW w:w="1149"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7,19%</w:t>
            </w:r>
          </w:p>
        </w:tc>
        <w:tc>
          <w:tcPr>
            <w:tcW w:w="113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9,80%</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8,18%</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7,87%</w:t>
            </w:r>
          </w:p>
        </w:tc>
        <w:tc>
          <w:tcPr>
            <w:tcW w:w="57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w:t>
            </w:r>
          </w:p>
        </w:tc>
      </w:tr>
      <w:tr w:rsidR="00795A46" w:rsidTr="00795A46">
        <w:trPr>
          <w:trHeight w:val="300"/>
        </w:trPr>
        <w:tc>
          <w:tcPr>
            <w:tcW w:w="2730"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795A46" w:rsidRDefault="00795A46">
            <w:pPr>
              <w:suppressAutoHyphens w:val="0"/>
              <w:jc w:val="center"/>
              <w:rPr>
                <w:b/>
                <w:bCs/>
                <w:lang w:eastAsia="hu-HU"/>
              </w:rPr>
            </w:pPr>
            <w:r>
              <w:rPr>
                <w:b/>
                <w:bCs/>
                <w:lang w:eastAsia="hu-HU"/>
              </w:rPr>
              <w:t>21-25 év</w:t>
            </w:r>
            <w:r>
              <w:rPr>
                <w:lang w:eastAsia="hu-HU"/>
              </w:rPr>
              <w:t xml:space="preserve"> (TS 038)</w:t>
            </w: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lang w:eastAsia="hu-HU"/>
              </w:rPr>
            </w:pPr>
            <w:r>
              <w:rPr>
                <w:lang w:eastAsia="hu-HU"/>
              </w:rPr>
              <w:t>Fő</w:t>
            </w:r>
          </w:p>
        </w:tc>
        <w:tc>
          <w:tcPr>
            <w:tcW w:w="111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21,00</w:t>
            </w:r>
          </w:p>
        </w:tc>
        <w:tc>
          <w:tcPr>
            <w:tcW w:w="114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18,00</w:t>
            </w:r>
          </w:p>
        </w:tc>
        <w:tc>
          <w:tcPr>
            <w:tcW w:w="113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13,00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11,00</w:t>
            </w:r>
          </w:p>
        </w:tc>
        <w:tc>
          <w:tcPr>
            <w:tcW w:w="57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r w:rsidR="00795A46" w:rsidTr="00795A46">
        <w:trPr>
          <w:trHeight w:val="300"/>
        </w:trPr>
        <w:tc>
          <w:tcPr>
            <w:tcW w:w="0" w:type="auto"/>
            <w:vMerge/>
            <w:tcBorders>
              <w:top w:val="nil"/>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Cs w:val="22"/>
                <w:lang w:eastAsia="hu-HU"/>
              </w:rPr>
            </w:pPr>
            <w:r>
              <w:rPr>
                <w:lang w:eastAsia="hu-HU"/>
              </w:rPr>
              <w:t>%</w:t>
            </w:r>
          </w:p>
        </w:tc>
        <w:tc>
          <w:tcPr>
            <w:tcW w:w="111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13,82%</w:t>
            </w:r>
          </w:p>
        </w:tc>
        <w:tc>
          <w:tcPr>
            <w:tcW w:w="1149"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12,95%</w:t>
            </w:r>
          </w:p>
        </w:tc>
        <w:tc>
          <w:tcPr>
            <w:tcW w:w="113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10,78%</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11,82%</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8,66%</w:t>
            </w:r>
          </w:p>
        </w:tc>
        <w:tc>
          <w:tcPr>
            <w:tcW w:w="57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w:t>
            </w:r>
          </w:p>
        </w:tc>
      </w:tr>
      <w:tr w:rsidR="00795A46" w:rsidTr="00795A46">
        <w:trPr>
          <w:trHeight w:val="300"/>
        </w:trPr>
        <w:tc>
          <w:tcPr>
            <w:tcW w:w="2730"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795A46" w:rsidRDefault="00795A46">
            <w:pPr>
              <w:suppressAutoHyphens w:val="0"/>
              <w:jc w:val="center"/>
              <w:rPr>
                <w:b/>
                <w:bCs/>
                <w:lang w:eastAsia="hu-HU"/>
              </w:rPr>
            </w:pPr>
            <w:r>
              <w:rPr>
                <w:b/>
                <w:bCs/>
                <w:lang w:eastAsia="hu-HU"/>
              </w:rPr>
              <w:t xml:space="preserve">26-30 év </w:t>
            </w:r>
            <w:r>
              <w:rPr>
                <w:lang w:eastAsia="hu-HU"/>
              </w:rPr>
              <w:t>(TS 039)</w:t>
            </w: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lang w:eastAsia="hu-HU"/>
              </w:rPr>
            </w:pPr>
            <w:r>
              <w:rPr>
                <w:lang w:eastAsia="hu-HU"/>
              </w:rPr>
              <w:t>Fő</w:t>
            </w:r>
          </w:p>
        </w:tc>
        <w:tc>
          <w:tcPr>
            <w:tcW w:w="111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16,00</w:t>
            </w:r>
          </w:p>
        </w:tc>
        <w:tc>
          <w:tcPr>
            <w:tcW w:w="114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11,00</w:t>
            </w:r>
          </w:p>
        </w:tc>
        <w:tc>
          <w:tcPr>
            <w:tcW w:w="113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12,00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9,00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17,00</w:t>
            </w:r>
          </w:p>
        </w:tc>
        <w:tc>
          <w:tcPr>
            <w:tcW w:w="57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r w:rsidR="00795A46" w:rsidTr="00795A46">
        <w:trPr>
          <w:trHeight w:val="300"/>
        </w:trPr>
        <w:tc>
          <w:tcPr>
            <w:tcW w:w="0" w:type="auto"/>
            <w:vMerge/>
            <w:tcBorders>
              <w:top w:val="nil"/>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Cs w:val="22"/>
                <w:lang w:eastAsia="hu-HU"/>
              </w:rPr>
            </w:pPr>
            <w:r>
              <w:rPr>
                <w:lang w:eastAsia="hu-HU"/>
              </w:rPr>
              <w:t>%</w:t>
            </w:r>
          </w:p>
        </w:tc>
        <w:tc>
          <w:tcPr>
            <w:tcW w:w="111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10,53%</w:t>
            </w:r>
          </w:p>
        </w:tc>
        <w:tc>
          <w:tcPr>
            <w:tcW w:w="1149"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7,91%</w:t>
            </w:r>
          </w:p>
        </w:tc>
        <w:tc>
          <w:tcPr>
            <w:tcW w:w="113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11,76%</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8,18%</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13,39%</w:t>
            </w:r>
          </w:p>
        </w:tc>
        <w:tc>
          <w:tcPr>
            <w:tcW w:w="57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w:t>
            </w:r>
          </w:p>
        </w:tc>
      </w:tr>
      <w:tr w:rsidR="00795A46" w:rsidTr="00795A46">
        <w:trPr>
          <w:trHeight w:val="300"/>
        </w:trPr>
        <w:tc>
          <w:tcPr>
            <w:tcW w:w="2730"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795A46" w:rsidRDefault="00795A46">
            <w:pPr>
              <w:suppressAutoHyphens w:val="0"/>
              <w:jc w:val="center"/>
              <w:rPr>
                <w:b/>
                <w:bCs/>
                <w:lang w:eastAsia="hu-HU"/>
              </w:rPr>
            </w:pPr>
            <w:r>
              <w:rPr>
                <w:b/>
                <w:bCs/>
                <w:lang w:eastAsia="hu-HU"/>
              </w:rPr>
              <w:t xml:space="preserve">31-35 év </w:t>
            </w:r>
            <w:r>
              <w:rPr>
                <w:lang w:eastAsia="hu-HU"/>
              </w:rPr>
              <w:t>(TS 040)</w:t>
            </w: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lang w:eastAsia="hu-HU"/>
              </w:rPr>
            </w:pPr>
            <w:r>
              <w:rPr>
                <w:lang w:eastAsia="hu-HU"/>
              </w:rPr>
              <w:t>Fő</w:t>
            </w:r>
          </w:p>
        </w:tc>
        <w:tc>
          <w:tcPr>
            <w:tcW w:w="111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14,00</w:t>
            </w:r>
          </w:p>
        </w:tc>
        <w:tc>
          <w:tcPr>
            <w:tcW w:w="114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17,00</w:t>
            </w:r>
          </w:p>
        </w:tc>
        <w:tc>
          <w:tcPr>
            <w:tcW w:w="113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9,00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8,00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11,00</w:t>
            </w:r>
          </w:p>
        </w:tc>
        <w:tc>
          <w:tcPr>
            <w:tcW w:w="57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r w:rsidR="00795A46" w:rsidTr="00795A46">
        <w:trPr>
          <w:trHeight w:val="300"/>
        </w:trPr>
        <w:tc>
          <w:tcPr>
            <w:tcW w:w="0" w:type="auto"/>
            <w:vMerge/>
            <w:tcBorders>
              <w:top w:val="nil"/>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Cs w:val="22"/>
                <w:lang w:eastAsia="hu-HU"/>
              </w:rPr>
            </w:pPr>
            <w:r>
              <w:rPr>
                <w:lang w:eastAsia="hu-HU"/>
              </w:rPr>
              <w:t>%</w:t>
            </w:r>
          </w:p>
        </w:tc>
        <w:tc>
          <w:tcPr>
            <w:tcW w:w="111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9,21%</w:t>
            </w:r>
          </w:p>
        </w:tc>
        <w:tc>
          <w:tcPr>
            <w:tcW w:w="1149"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12,23%</w:t>
            </w:r>
          </w:p>
        </w:tc>
        <w:tc>
          <w:tcPr>
            <w:tcW w:w="113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8,82%</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7,27%</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8,66%</w:t>
            </w:r>
          </w:p>
        </w:tc>
        <w:tc>
          <w:tcPr>
            <w:tcW w:w="57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w:t>
            </w:r>
          </w:p>
        </w:tc>
      </w:tr>
      <w:tr w:rsidR="00795A46" w:rsidTr="00795A46">
        <w:trPr>
          <w:trHeight w:val="300"/>
        </w:trPr>
        <w:tc>
          <w:tcPr>
            <w:tcW w:w="2730"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795A46" w:rsidRDefault="00795A46">
            <w:pPr>
              <w:suppressAutoHyphens w:val="0"/>
              <w:jc w:val="center"/>
              <w:rPr>
                <w:b/>
                <w:bCs/>
                <w:lang w:eastAsia="hu-HU"/>
              </w:rPr>
            </w:pPr>
            <w:r>
              <w:rPr>
                <w:b/>
                <w:bCs/>
                <w:lang w:eastAsia="hu-HU"/>
              </w:rPr>
              <w:t xml:space="preserve">36-40 év </w:t>
            </w:r>
            <w:r>
              <w:rPr>
                <w:lang w:eastAsia="hu-HU"/>
              </w:rPr>
              <w:t>(TS 041)</w:t>
            </w: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lang w:eastAsia="hu-HU"/>
              </w:rPr>
            </w:pPr>
            <w:r>
              <w:rPr>
                <w:lang w:eastAsia="hu-HU"/>
              </w:rPr>
              <w:t>Fő</w:t>
            </w:r>
          </w:p>
        </w:tc>
        <w:tc>
          <w:tcPr>
            <w:tcW w:w="111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16,00</w:t>
            </w:r>
          </w:p>
        </w:tc>
        <w:tc>
          <w:tcPr>
            <w:tcW w:w="114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17,00</w:t>
            </w:r>
          </w:p>
        </w:tc>
        <w:tc>
          <w:tcPr>
            <w:tcW w:w="113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18,00</w:t>
            </w:r>
          </w:p>
        </w:tc>
        <w:tc>
          <w:tcPr>
            <w:tcW w:w="57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r w:rsidR="00795A46" w:rsidTr="00795A46">
        <w:trPr>
          <w:trHeight w:val="300"/>
        </w:trPr>
        <w:tc>
          <w:tcPr>
            <w:tcW w:w="0" w:type="auto"/>
            <w:vMerge/>
            <w:tcBorders>
              <w:top w:val="nil"/>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Cs w:val="22"/>
                <w:lang w:eastAsia="hu-HU"/>
              </w:rPr>
            </w:pPr>
            <w:r>
              <w:rPr>
                <w:lang w:eastAsia="hu-HU"/>
              </w:rPr>
              <w:t>%</w:t>
            </w:r>
          </w:p>
        </w:tc>
        <w:tc>
          <w:tcPr>
            <w:tcW w:w="111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10,53%</w:t>
            </w:r>
          </w:p>
        </w:tc>
        <w:tc>
          <w:tcPr>
            <w:tcW w:w="1149"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12,23%</w:t>
            </w:r>
          </w:p>
        </w:tc>
        <w:tc>
          <w:tcPr>
            <w:tcW w:w="113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9,80%</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9,09%</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14,17%</w:t>
            </w:r>
          </w:p>
        </w:tc>
        <w:tc>
          <w:tcPr>
            <w:tcW w:w="57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w:t>
            </w:r>
          </w:p>
        </w:tc>
      </w:tr>
      <w:tr w:rsidR="00795A46" w:rsidTr="00795A46">
        <w:trPr>
          <w:trHeight w:val="300"/>
        </w:trPr>
        <w:tc>
          <w:tcPr>
            <w:tcW w:w="2730"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795A46" w:rsidRDefault="00795A46">
            <w:pPr>
              <w:suppressAutoHyphens w:val="0"/>
              <w:jc w:val="center"/>
              <w:rPr>
                <w:b/>
                <w:bCs/>
                <w:lang w:eastAsia="hu-HU"/>
              </w:rPr>
            </w:pPr>
            <w:r>
              <w:rPr>
                <w:b/>
                <w:bCs/>
                <w:lang w:eastAsia="hu-HU"/>
              </w:rPr>
              <w:t xml:space="preserve">41-45 év </w:t>
            </w:r>
            <w:r>
              <w:rPr>
                <w:lang w:eastAsia="hu-HU"/>
              </w:rPr>
              <w:t>(TS 042)</w:t>
            </w: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lang w:eastAsia="hu-HU"/>
              </w:rPr>
            </w:pPr>
            <w:r>
              <w:rPr>
                <w:lang w:eastAsia="hu-HU"/>
              </w:rPr>
              <w:t>Fő</w:t>
            </w:r>
          </w:p>
        </w:tc>
        <w:tc>
          <w:tcPr>
            <w:tcW w:w="111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13,00</w:t>
            </w:r>
          </w:p>
        </w:tc>
        <w:tc>
          <w:tcPr>
            <w:tcW w:w="114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18,00</w:t>
            </w:r>
          </w:p>
        </w:tc>
        <w:tc>
          <w:tcPr>
            <w:tcW w:w="113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12,00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9,00</w:t>
            </w:r>
          </w:p>
        </w:tc>
        <w:tc>
          <w:tcPr>
            <w:tcW w:w="57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r w:rsidR="00795A46" w:rsidTr="00795A46">
        <w:trPr>
          <w:trHeight w:val="300"/>
        </w:trPr>
        <w:tc>
          <w:tcPr>
            <w:tcW w:w="0" w:type="auto"/>
            <w:vMerge/>
            <w:tcBorders>
              <w:top w:val="nil"/>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Cs w:val="22"/>
                <w:lang w:eastAsia="hu-HU"/>
              </w:rPr>
            </w:pPr>
            <w:r>
              <w:rPr>
                <w:lang w:eastAsia="hu-HU"/>
              </w:rPr>
              <w:t>%</w:t>
            </w:r>
          </w:p>
        </w:tc>
        <w:tc>
          <w:tcPr>
            <w:tcW w:w="111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8,55%</w:t>
            </w:r>
          </w:p>
        </w:tc>
        <w:tc>
          <w:tcPr>
            <w:tcW w:w="1149"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12,95%</w:t>
            </w:r>
          </w:p>
        </w:tc>
        <w:tc>
          <w:tcPr>
            <w:tcW w:w="113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11,76%</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10,00%</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7,09%</w:t>
            </w:r>
          </w:p>
        </w:tc>
        <w:tc>
          <w:tcPr>
            <w:tcW w:w="57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w:t>
            </w:r>
          </w:p>
        </w:tc>
      </w:tr>
      <w:tr w:rsidR="00795A46" w:rsidTr="00795A46">
        <w:trPr>
          <w:trHeight w:val="300"/>
        </w:trPr>
        <w:tc>
          <w:tcPr>
            <w:tcW w:w="2730"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795A46" w:rsidRDefault="00795A46">
            <w:pPr>
              <w:suppressAutoHyphens w:val="0"/>
              <w:jc w:val="center"/>
              <w:rPr>
                <w:b/>
                <w:bCs/>
                <w:lang w:eastAsia="hu-HU"/>
              </w:rPr>
            </w:pPr>
            <w:r>
              <w:rPr>
                <w:b/>
                <w:bCs/>
                <w:lang w:eastAsia="hu-HU"/>
              </w:rPr>
              <w:t xml:space="preserve">46-50 év </w:t>
            </w:r>
            <w:r>
              <w:rPr>
                <w:lang w:eastAsia="hu-HU"/>
              </w:rPr>
              <w:t>(TS 043)</w:t>
            </w: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lang w:eastAsia="hu-HU"/>
              </w:rPr>
            </w:pPr>
            <w:r>
              <w:rPr>
                <w:lang w:eastAsia="hu-HU"/>
              </w:rPr>
              <w:t>Fő</w:t>
            </w:r>
          </w:p>
        </w:tc>
        <w:tc>
          <w:tcPr>
            <w:tcW w:w="111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20,00</w:t>
            </w:r>
          </w:p>
        </w:tc>
        <w:tc>
          <w:tcPr>
            <w:tcW w:w="114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8,00</w:t>
            </w:r>
          </w:p>
        </w:tc>
        <w:tc>
          <w:tcPr>
            <w:tcW w:w="113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8,00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9,00</w:t>
            </w:r>
          </w:p>
        </w:tc>
        <w:tc>
          <w:tcPr>
            <w:tcW w:w="57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r w:rsidR="00795A46" w:rsidTr="00795A46">
        <w:trPr>
          <w:trHeight w:val="300"/>
        </w:trPr>
        <w:tc>
          <w:tcPr>
            <w:tcW w:w="0" w:type="auto"/>
            <w:vMerge/>
            <w:tcBorders>
              <w:top w:val="nil"/>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Cs w:val="22"/>
                <w:lang w:eastAsia="hu-HU"/>
              </w:rPr>
            </w:pPr>
            <w:r>
              <w:rPr>
                <w:lang w:eastAsia="hu-HU"/>
              </w:rPr>
              <w:t>%</w:t>
            </w:r>
          </w:p>
        </w:tc>
        <w:tc>
          <w:tcPr>
            <w:tcW w:w="111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13,16%</w:t>
            </w:r>
          </w:p>
        </w:tc>
        <w:tc>
          <w:tcPr>
            <w:tcW w:w="1149"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5,76%</w:t>
            </w:r>
          </w:p>
        </w:tc>
        <w:tc>
          <w:tcPr>
            <w:tcW w:w="113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7,84%</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3,64%</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7,09%</w:t>
            </w:r>
          </w:p>
        </w:tc>
        <w:tc>
          <w:tcPr>
            <w:tcW w:w="57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w:t>
            </w:r>
          </w:p>
        </w:tc>
      </w:tr>
      <w:tr w:rsidR="00795A46" w:rsidTr="00795A46">
        <w:trPr>
          <w:trHeight w:val="300"/>
        </w:trPr>
        <w:tc>
          <w:tcPr>
            <w:tcW w:w="2730"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795A46" w:rsidRDefault="00795A46">
            <w:pPr>
              <w:suppressAutoHyphens w:val="0"/>
              <w:jc w:val="center"/>
              <w:rPr>
                <w:b/>
                <w:bCs/>
                <w:lang w:eastAsia="hu-HU"/>
              </w:rPr>
            </w:pPr>
            <w:r>
              <w:rPr>
                <w:b/>
                <w:bCs/>
                <w:lang w:eastAsia="hu-HU"/>
              </w:rPr>
              <w:t xml:space="preserve">51-55 év </w:t>
            </w:r>
            <w:r>
              <w:rPr>
                <w:lang w:eastAsia="hu-HU"/>
              </w:rPr>
              <w:t>(TS 044)</w:t>
            </w: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lang w:eastAsia="hu-HU"/>
              </w:rPr>
            </w:pPr>
            <w:r>
              <w:rPr>
                <w:lang w:eastAsia="hu-HU"/>
              </w:rPr>
              <w:t>Fő</w:t>
            </w:r>
          </w:p>
        </w:tc>
        <w:tc>
          <w:tcPr>
            <w:tcW w:w="111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19,00</w:t>
            </w:r>
          </w:p>
        </w:tc>
        <w:tc>
          <w:tcPr>
            <w:tcW w:w="114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13,00</w:t>
            </w:r>
          </w:p>
        </w:tc>
        <w:tc>
          <w:tcPr>
            <w:tcW w:w="113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12,00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10,00</w:t>
            </w:r>
          </w:p>
        </w:tc>
        <w:tc>
          <w:tcPr>
            <w:tcW w:w="57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r w:rsidR="00795A46" w:rsidTr="00795A46">
        <w:trPr>
          <w:trHeight w:val="300"/>
        </w:trPr>
        <w:tc>
          <w:tcPr>
            <w:tcW w:w="0" w:type="auto"/>
            <w:vMerge/>
            <w:tcBorders>
              <w:top w:val="nil"/>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Cs w:val="22"/>
                <w:lang w:eastAsia="hu-HU"/>
              </w:rPr>
            </w:pPr>
            <w:r>
              <w:rPr>
                <w:lang w:eastAsia="hu-HU"/>
              </w:rPr>
              <w:t>%</w:t>
            </w:r>
          </w:p>
        </w:tc>
        <w:tc>
          <w:tcPr>
            <w:tcW w:w="111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12,50%</w:t>
            </w:r>
          </w:p>
        </w:tc>
        <w:tc>
          <w:tcPr>
            <w:tcW w:w="1149"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9,35%</w:t>
            </w:r>
          </w:p>
        </w:tc>
        <w:tc>
          <w:tcPr>
            <w:tcW w:w="113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10,78%</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10,91%</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7,87%</w:t>
            </w:r>
          </w:p>
        </w:tc>
        <w:tc>
          <w:tcPr>
            <w:tcW w:w="57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w:t>
            </w:r>
          </w:p>
        </w:tc>
      </w:tr>
      <w:tr w:rsidR="00795A46" w:rsidTr="00795A46">
        <w:trPr>
          <w:trHeight w:val="300"/>
        </w:trPr>
        <w:tc>
          <w:tcPr>
            <w:tcW w:w="2730"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795A46" w:rsidRDefault="00795A46">
            <w:pPr>
              <w:suppressAutoHyphens w:val="0"/>
              <w:jc w:val="center"/>
              <w:rPr>
                <w:b/>
                <w:bCs/>
                <w:lang w:eastAsia="hu-HU"/>
              </w:rPr>
            </w:pPr>
            <w:r>
              <w:rPr>
                <w:b/>
                <w:bCs/>
                <w:lang w:eastAsia="hu-HU"/>
              </w:rPr>
              <w:t xml:space="preserve">56-60 év </w:t>
            </w:r>
            <w:r>
              <w:rPr>
                <w:lang w:eastAsia="hu-HU"/>
              </w:rPr>
              <w:t>(TS 045)</w:t>
            </w: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lang w:eastAsia="hu-HU"/>
              </w:rPr>
            </w:pPr>
            <w:r>
              <w:rPr>
                <w:lang w:eastAsia="hu-HU"/>
              </w:rPr>
              <w:t>Fő</w:t>
            </w:r>
          </w:p>
        </w:tc>
        <w:tc>
          <w:tcPr>
            <w:tcW w:w="111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17,00</w:t>
            </w:r>
          </w:p>
        </w:tc>
        <w:tc>
          <w:tcPr>
            <w:tcW w:w="114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17,00</w:t>
            </w:r>
          </w:p>
        </w:tc>
        <w:tc>
          <w:tcPr>
            <w:tcW w:w="113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16,00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14,00</w:t>
            </w:r>
          </w:p>
        </w:tc>
        <w:tc>
          <w:tcPr>
            <w:tcW w:w="57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r w:rsidR="00795A46" w:rsidTr="00795A46">
        <w:trPr>
          <w:trHeight w:val="300"/>
        </w:trPr>
        <w:tc>
          <w:tcPr>
            <w:tcW w:w="0" w:type="auto"/>
            <w:vMerge/>
            <w:tcBorders>
              <w:top w:val="nil"/>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Cs w:val="22"/>
                <w:lang w:eastAsia="hu-HU"/>
              </w:rPr>
            </w:pPr>
            <w:r>
              <w:rPr>
                <w:lang w:eastAsia="hu-HU"/>
              </w:rPr>
              <w:t>%</w:t>
            </w:r>
          </w:p>
        </w:tc>
        <w:tc>
          <w:tcPr>
            <w:tcW w:w="111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11,18%</w:t>
            </w:r>
          </w:p>
        </w:tc>
        <w:tc>
          <w:tcPr>
            <w:tcW w:w="1149"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12,23%</w:t>
            </w:r>
          </w:p>
        </w:tc>
        <w:tc>
          <w:tcPr>
            <w:tcW w:w="113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9,80%</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14,55%</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11,02%</w:t>
            </w:r>
          </w:p>
        </w:tc>
        <w:tc>
          <w:tcPr>
            <w:tcW w:w="57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w:t>
            </w:r>
          </w:p>
        </w:tc>
      </w:tr>
      <w:tr w:rsidR="00795A46" w:rsidTr="00795A46">
        <w:trPr>
          <w:trHeight w:val="300"/>
        </w:trPr>
        <w:tc>
          <w:tcPr>
            <w:tcW w:w="2730"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795A46" w:rsidRDefault="00795A46">
            <w:pPr>
              <w:suppressAutoHyphens w:val="0"/>
              <w:jc w:val="center"/>
              <w:rPr>
                <w:b/>
                <w:bCs/>
                <w:lang w:eastAsia="hu-HU"/>
              </w:rPr>
            </w:pPr>
            <w:r>
              <w:rPr>
                <w:b/>
                <w:bCs/>
                <w:lang w:eastAsia="hu-HU"/>
              </w:rPr>
              <w:t>61 éves, vagy afeletti</w:t>
            </w:r>
            <w:r>
              <w:rPr>
                <w:lang w:eastAsia="hu-HU"/>
              </w:rPr>
              <w:t xml:space="preserve"> (TS 046)</w:t>
            </w: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lang w:eastAsia="hu-HU"/>
              </w:rPr>
            </w:pPr>
            <w:r>
              <w:rPr>
                <w:lang w:eastAsia="hu-HU"/>
              </w:rPr>
              <w:t>Fő</w:t>
            </w:r>
          </w:p>
        </w:tc>
        <w:tc>
          <w:tcPr>
            <w:tcW w:w="111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10,00</w:t>
            </w:r>
          </w:p>
        </w:tc>
        <w:tc>
          <w:tcPr>
            <w:tcW w:w="114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10,00</w:t>
            </w:r>
          </w:p>
        </w:tc>
        <w:tc>
          <w:tcPr>
            <w:tcW w:w="113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9,00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18,00</w:t>
            </w:r>
          </w:p>
        </w:tc>
        <w:tc>
          <w:tcPr>
            <w:tcW w:w="57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r w:rsidR="00795A46" w:rsidTr="00795A46">
        <w:trPr>
          <w:trHeight w:val="300"/>
        </w:trPr>
        <w:tc>
          <w:tcPr>
            <w:tcW w:w="0" w:type="auto"/>
            <w:vMerge/>
            <w:tcBorders>
              <w:top w:val="nil"/>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Cs w:val="22"/>
                <w:lang w:eastAsia="hu-HU"/>
              </w:rPr>
            </w:pPr>
            <w:r>
              <w:rPr>
                <w:lang w:eastAsia="hu-HU"/>
              </w:rPr>
              <w:t>%</w:t>
            </w:r>
          </w:p>
        </w:tc>
        <w:tc>
          <w:tcPr>
            <w:tcW w:w="111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6,58%</w:t>
            </w:r>
          </w:p>
        </w:tc>
        <w:tc>
          <w:tcPr>
            <w:tcW w:w="1149"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7,19%</w:t>
            </w:r>
          </w:p>
        </w:tc>
        <w:tc>
          <w:tcPr>
            <w:tcW w:w="113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8,82%</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16,36%</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14,17%</w:t>
            </w:r>
          </w:p>
        </w:tc>
        <w:tc>
          <w:tcPr>
            <w:tcW w:w="57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Cs w:val="22"/>
          <w:lang w:eastAsia="hu-HU"/>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lang w:eastAsia="hu-HU"/>
        </w:rPr>
      </w:pPr>
      <w:r>
        <w:rPr>
          <w:rFonts w:ascii="Times New Roman" w:hAnsi="Times New Roman"/>
          <w:color w:val="000000"/>
          <w:lang w:eastAsia="hu-HU"/>
        </w:rPr>
        <w:t>Forrás: TeIR, KSH-TSTAR</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lang w:eastAsia="hu-HU"/>
        </w:rPr>
      </w:pP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noProof/>
          <w:lang w:eastAsia="hu-HU"/>
        </w:rPr>
        <w:drawing>
          <wp:inline distT="0" distB="0" distL="0" distR="0" wp14:anchorId="1644938B" wp14:editId="5FDCE9BA">
            <wp:extent cx="5229225" cy="2838450"/>
            <wp:effectExtent l="0" t="0" r="9525"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9225" cy="2838450"/>
                    </a:xfrm>
                    <a:prstGeom prst="rect">
                      <a:avLst/>
                    </a:prstGeom>
                    <a:noFill/>
                    <a:ln>
                      <a:noFill/>
                    </a:ln>
                  </pic:spPr>
                </pic:pic>
              </a:graphicData>
            </a:graphic>
          </wp:inline>
        </w:drawing>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noProof/>
          <w:lang w:eastAsia="hu-HU"/>
        </w:rPr>
        <w:drawing>
          <wp:inline distT="0" distB="0" distL="0" distR="0" wp14:anchorId="38FF612F" wp14:editId="38400F08">
            <wp:extent cx="5362575" cy="3771900"/>
            <wp:effectExtent l="0" t="0" r="9525" b="0"/>
            <wp:docPr id="19" name="Diagram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Az összes nyilvántartott álláskereső számának csökkenése mellett </w:t>
      </w:r>
      <w:r>
        <w:rPr>
          <w:rFonts w:ascii="Times New Roman" w:hAnsi="Times New Roman"/>
          <w:color w:val="000000"/>
          <w:sz w:val="24"/>
        </w:rPr>
        <w:t>a nagyobb hányadot a 30-40 éves korosztály teszi ki, őket követi stagnáló, vagy enyhén emelkedő arányban az 50 évfeletti népesség. A 20-24 éves korosztály aránya magas még, ennek magyarázata az is lehet, hogy csökken a népesség,</w:t>
      </w:r>
      <w:r>
        <w:rPr>
          <w:rFonts w:ascii="Times New Roman" w:hAnsi="Times New Roman"/>
          <w:sz w:val="24"/>
        </w:rPr>
        <w:t xml:space="preserve"> illetve a fiatalok elvándorolhatnak a településről.</w:t>
      </w:r>
    </w:p>
    <w:p w:rsidR="00795A46" w:rsidRDefault="00795A46" w:rsidP="00795A46">
      <w:pPr>
        <w:rPr>
          <w:rFonts w:ascii="Times New Roman" w:hAnsi="Times New Roman"/>
          <w:sz w:val="24"/>
        </w:rPr>
      </w:pPr>
      <w:r>
        <w:rPr>
          <w:rFonts w:ascii="Times New Roman" w:hAnsi="Times New Roman"/>
          <w:sz w:val="24"/>
        </w:rPr>
        <w:t xml:space="preserve">A 20 éves és fiatalabb korosztály alacsony arányának az lehet az oka, hogy ennek a korosztálynak a jelentős hányada még valamilyen iskolarendszerű képzésben részesül. Arányuk kisebb a többi korcsoportéhoz képest, ugyanakkor következtethetünk arra is, hogy évente 3-6 fiatal abbahagyja tanulmányait tanköteles koruk elmúltával, illetve nem talált munkát az iskola befejezését követően kellő gyakorlat hiányában. </w:t>
      </w:r>
    </w:p>
    <w:p w:rsidR="00795A46" w:rsidRDefault="00795A46" w:rsidP="00795A46">
      <w:pPr>
        <w:rPr>
          <w:rFonts w:ascii="Times New Roman" w:hAnsi="Times New Roman"/>
          <w:sz w:val="24"/>
        </w:rPr>
      </w:pPr>
      <w:r>
        <w:rPr>
          <w:rFonts w:ascii="Times New Roman" w:hAnsi="Times New Roman"/>
          <w:sz w:val="24"/>
        </w:rPr>
        <w:t>Ennek megoldása lehet a fiatalok motiválása az iskola elvégzésére, helyi foglalkoztatók ösztönzése pályakezdő álláskeresők alkalmazására, illetve a közfoglalkoztatási programokba való felvételük.</w:t>
      </w:r>
    </w:p>
    <w:p w:rsidR="00795A46" w:rsidRDefault="00795A46" w:rsidP="00795A46">
      <w:pPr>
        <w:pStyle w:val="Tblacm"/>
        <w:rPr>
          <w:rFonts w:ascii="Times New Roman" w:hAnsi="Times New Roman"/>
          <w:sz w:val="20"/>
          <w:szCs w:val="20"/>
          <w:shd w:val="clear" w:color="auto" w:fill="00FF00"/>
        </w:rPr>
      </w:pPr>
    </w:p>
    <w:p w:rsidR="00795A46" w:rsidRDefault="00795A46" w:rsidP="00795A46">
      <w:pPr>
        <w:pStyle w:val="StlusNormlCalibri11Mintzatres5-osszrke"/>
        <w:rPr>
          <w:rFonts w:ascii="Times New Roman" w:hAnsi="Times New Roman" w:cs="Times New Roman"/>
          <w:sz w:val="24"/>
          <w:szCs w:val="24"/>
        </w:rPr>
      </w:pPr>
      <w:bookmarkStart w:id="36" w:name="__RefHeading__57_1906745769"/>
      <w:bookmarkEnd w:id="36"/>
      <w:r>
        <w:rPr>
          <w:rFonts w:ascii="Times New Roman" w:hAnsi="Times New Roman" w:cs="Times New Roman"/>
          <w:sz w:val="24"/>
          <w:szCs w:val="24"/>
        </w:rPr>
        <w:t>A 3.2.3. táblázat adatai a tartós munkanélküliekről és az adatokból kiolvasható tendenciák szintén fontosak a település gazdasági potenciáljának jellemzésekor, s a jövőbeli folyamatok tervezésekor. Minél magasabb a tartós munkanélküliek aránya, annál inkább szükséges a beavatkozások tervezése. Ez esetben is figyelembe kell venni a nemek közötti különbséget, illetve a területi és országos arányokat.</w:t>
      </w:r>
    </w:p>
    <w:p w:rsidR="00795A46" w:rsidRDefault="00795A46" w:rsidP="00795A46">
      <w:pPr>
        <w:pStyle w:val="Tblacm"/>
        <w:rPr>
          <w:rFonts w:ascii="Times New Roman" w:hAnsi="Times New Roman"/>
          <w:sz w:val="24"/>
          <w:szCs w:val="24"/>
          <w:shd w:val="clear" w:color="auto" w:fill="00FF00"/>
        </w:rPr>
      </w:pPr>
    </w:p>
    <w:p w:rsidR="00795A46" w:rsidRDefault="00795A46" w:rsidP="00795A46">
      <w:pPr>
        <w:pStyle w:val="Tblacm"/>
        <w:rPr>
          <w:rFonts w:ascii="Times New Roman" w:hAnsi="Times New Roman"/>
          <w:sz w:val="24"/>
          <w:szCs w:val="24"/>
          <w:shd w:val="clear" w:color="auto" w:fill="00FF00"/>
        </w:rPr>
      </w:pPr>
    </w:p>
    <w:p w:rsidR="00795A46" w:rsidRDefault="00795A46" w:rsidP="00795A46">
      <w:pPr>
        <w:pStyle w:val="Tblacm"/>
        <w:rPr>
          <w:rFonts w:ascii="Times New Roman" w:hAnsi="Times New Roman"/>
          <w:sz w:val="24"/>
          <w:szCs w:val="24"/>
          <w:shd w:val="clear" w:color="auto" w:fill="00FF00"/>
        </w:rPr>
      </w:pPr>
      <w:bookmarkStart w:id="37" w:name="__RefHeading__59_1906745769"/>
      <w:bookmarkEnd w:id="37"/>
      <w:r>
        <w:rPr>
          <w:rFonts w:ascii="Times New Roman" w:hAnsi="Times New Roman"/>
          <w:sz w:val="24"/>
          <w:szCs w:val="24"/>
          <w:shd w:val="clear" w:color="auto" w:fill="00FF00"/>
        </w:rPr>
        <w:t>3.2.3. számú tábla - A 180 napnál hosszabb ideje nyilvántartott álláskeresők aránya</w:t>
      </w:r>
    </w:p>
    <w:p w:rsidR="00795A46" w:rsidRDefault="00795A46" w:rsidP="00795A46">
      <w:pPr>
        <w:pStyle w:val="Tblacm"/>
        <w:rPr>
          <w:rFonts w:ascii="Times New Roman" w:hAnsi="Times New Roman"/>
        </w:rPr>
      </w:pPr>
    </w:p>
    <w:tbl>
      <w:tblPr>
        <w:tblW w:w="5714" w:type="dxa"/>
        <w:tblInd w:w="-68" w:type="dxa"/>
        <w:tblCellMar>
          <w:left w:w="70" w:type="dxa"/>
          <w:right w:w="70" w:type="dxa"/>
        </w:tblCellMar>
        <w:tblLook w:val="00A0" w:firstRow="1" w:lastRow="0" w:firstColumn="1" w:lastColumn="0" w:noHBand="0" w:noVBand="0"/>
      </w:tblPr>
      <w:tblGrid>
        <w:gridCol w:w="960"/>
        <w:gridCol w:w="2001"/>
        <w:gridCol w:w="2607"/>
        <w:gridCol w:w="146"/>
      </w:tblGrid>
      <w:tr w:rsidR="00795A46" w:rsidTr="00795A46">
        <w:trPr>
          <w:gridAfter w:val="1"/>
          <w:trHeight w:val="1725"/>
        </w:trPr>
        <w:tc>
          <w:tcPr>
            <w:tcW w:w="960" w:type="dxa"/>
            <w:vMerge w:val="restart"/>
            <w:tcBorders>
              <w:top w:val="single" w:sz="4" w:space="0" w:color="auto"/>
              <w:left w:val="single" w:sz="4" w:space="0" w:color="auto"/>
              <w:bottom w:val="single" w:sz="4" w:space="0" w:color="000000"/>
              <w:right w:val="single" w:sz="4" w:space="0" w:color="auto"/>
            </w:tcBorders>
            <w:shd w:val="clear" w:color="auto" w:fill="E2EFDA"/>
            <w:noWrap/>
            <w:vAlign w:val="center"/>
            <w:hideMark/>
          </w:tcPr>
          <w:p w:rsidR="00795A46" w:rsidRDefault="00795A46">
            <w:pPr>
              <w:suppressAutoHyphens w:val="0"/>
              <w:jc w:val="center"/>
              <w:rPr>
                <w:rFonts w:cs="Calibri"/>
                <w:b/>
                <w:bCs/>
                <w:lang w:eastAsia="hu-HU"/>
              </w:rPr>
            </w:pPr>
            <w:bookmarkStart w:id="38" w:name="__RefHeading__61_1906745769"/>
            <w:bookmarkStart w:id="39" w:name="__RefHeading__63_1906745769"/>
            <w:bookmarkEnd w:id="38"/>
            <w:bookmarkEnd w:id="39"/>
            <w:r>
              <w:rPr>
                <w:b/>
                <w:bCs/>
                <w:lang w:eastAsia="hu-HU"/>
              </w:rPr>
              <w:t>Év </w:t>
            </w:r>
          </w:p>
        </w:tc>
        <w:tc>
          <w:tcPr>
            <w:tcW w:w="2040" w:type="dxa"/>
            <w:vMerge w:val="restart"/>
            <w:tcBorders>
              <w:top w:val="single" w:sz="4" w:space="0" w:color="auto"/>
              <w:left w:val="single" w:sz="4" w:space="0" w:color="auto"/>
              <w:bottom w:val="single" w:sz="4" w:space="0" w:color="000000"/>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180 napnál hosszabb ideje regisztrált munkanélküliek aránya </w:t>
            </w:r>
            <w:r>
              <w:rPr>
                <w:lang w:eastAsia="hu-HU"/>
              </w:rPr>
              <w:t>(TS 057)</w:t>
            </w:r>
          </w:p>
        </w:tc>
        <w:tc>
          <w:tcPr>
            <w:tcW w:w="2714" w:type="dxa"/>
            <w:vMerge w:val="restart"/>
            <w:tcBorders>
              <w:top w:val="single" w:sz="4" w:space="0" w:color="auto"/>
              <w:left w:val="single" w:sz="4" w:space="0" w:color="auto"/>
              <w:bottom w:val="single" w:sz="4" w:space="0" w:color="000000"/>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Nők aránya a 180 napon túli nyilvántartott álláskeresőkön belül </w:t>
            </w:r>
            <w:r>
              <w:rPr>
                <w:lang w:eastAsia="hu-HU"/>
              </w:rPr>
              <w:t>(TS 058)</w:t>
            </w:r>
          </w:p>
        </w:tc>
      </w:tr>
      <w:tr w:rsidR="00795A46" w:rsidTr="00795A46">
        <w:trPr>
          <w:trHeight w:val="64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jc w:val="left"/>
              <w:rPr>
                <w:b/>
                <w:bCs/>
                <w:szCs w:val="22"/>
                <w:lang w:eastAsia="hu-H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jc w:val="left"/>
              <w:rPr>
                <w:b/>
                <w:bCs/>
                <w:szCs w:val="22"/>
                <w:lang w:eastAsia="hu-H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jc w:val="left"/>
              <w:rPr>
                <w:b/>
                <w:bCs/>
                <w:szCs w:val="22"/>
                <w:lang w:eastAsia="hu-HU"/>
              </w:rPr>
            </w:pPr>
          </w:p>
        </w:tc>
        <w:tc>
          <w:tcPr>
            <w:tcW w:w="0" w:type="auto"/>
            <w:vAlign w:val="center"/>
          </w:tcPr>
          <w:p w:rsidR="00795A46" w:rsidRDefault="00795A46">
            <w:pPr>
              <w:rPr>
                <w:b/>
                <w:bCs/>
                <w:lang w:eastAsia="hu-HU"/>
              </w:rPr>
            </w:pPr>
          </w:p>
        </w:tc>
      </w:tr>
      <w:tr w:rsidR="00795A46" w:rsidTr="00795A46">
        <w:trPr>
          <w:trHeight w:val="4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jc w:val="left"/>
              <w:rPr>
                <w:b/>
                <w:bCs/>
                <w:szCs w:val="22"/>
                <w:lang w:eastAsia="hu-HU"/>
              </w:rPr>
            </w:pPr>
          </w:p>
        </w:tc>
        <w:tc>
          <w:tcPr>
            <w:tcW w:w="2040"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w:t>
            </w:r>
          </w:p>
        </w:tc>
        <w:tc>
          <w:tcPr>
            <w:tcW w:w="2714"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w:t>
            </w:r>
          </w:p>
        </w:tc>
        <w:tc>
          <w:tcPr>
            <w:tcW w:w="0" w:type="auto"/>
            <w:vAlign w:val="center"/>
          </w:tcPr>
          <w:p w:rsidR="00795A46" w:rsidRDefault="00795A46">
            <w:pPr>
              <w:suppressAutoHyphens w:val="0"/>
              <w:jc w:val="left"/>
              <w:rPr>
                <w:rFonts w:ascii="Times New Roman" w:hAnsi="Times New Roman"/>
                <w:sz w:val="20"/>
                <w:szCs w:val="20"/>
                <w:lang w:eastAsia="hu-HU"/>
              </w:rPr>
            </w:pP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rFonts w:cs="Calibri"/>
                <w:szCs w:val="22"/>
                <w:lang w:eastAsia="hu-HU"/>
              </w:rPr>
            </w:pPr>
            <w:r>
              <w:rPr>
                <w:lang w:eastAsia="hu-HU"/>
              </w:rPr>
              <w:t>2015</w:t>
            </w:r>
          </w:p>
        </w:tc>
        <w:tc>
          <w:tcPr>
            <w:tcW w:w="20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47,37%</w:t>
            </w:r>
          </w:p>
        </w:tc>
        <w:tc>
          <w:tcPr>
            <w:tcW w:w="271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73,61%</w:t>
            </w:r>
          </w:p>
        </w:tc>
        <w:tc>
          <w:tcPr>
            <w:tcW w:w="0" w:type="auto"/>
            <w:vAlign w:val="center"/>
          </w:tcPr>
          <w:p w:rsidR="00795A46" w:rsidRDefault="00795A46">
            <w:pPr>
              <w:suppressAutoHyphens w:val="0"/>
              <w:jc w:val="left"/>
              <w:rPr>
                <w:rFonts w:ascii="Times New Roman" w:hAnsi="Times New Roman"/>
                <w:sz w:val="20"/>
                <w:szCs w:val="20"/>
                <w:lang w:eastAsia="hu-HU"/>
              </w:rPr>
            </w:pP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rFonts w:cs="Calibri"/>
                <w:szCs w:val="22"/>
                <w:lang w:eastAsia="hu-HU"/>
              </w:rPr>
            </w:pPr>
            <w:r>
              <w:rPr>
                <w:lang w:eastAsia="hu-HU"/>
              </w:rPr>
              <w:t>2016</w:t>
            </w:r>
          </w:p>
        </w:tc>
        <w:tc>
          <w:tcPr>
            <w:tcW w:w="20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35,25%</w:t>
            </w:r>
          </w:p>
        </w:tc>
        <w:tc>
          <w:tcPr>
            <w:tcW w:w="271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61,22%</w:t>
            </w:r>
          </w:p>
        </w:tc>
        <w:tc>
          <w:tcPr>
            <w:tcW w:w="0" w:type="auto"/>
            <w:vAlign w:val="center"/>
          </w:tcPr>
          <w:p w:rsidR="00795A46" w:rsidRDefault="00795A46">
            <w:pPr>
              <w:suppressAutoHyphens w:val="0"/>
              <w:jc w:val="left"/>
              <w:rPr>
                <w:rFonts w:ascii="Times New Roman" w:hAnsi="Times New Roman"/>
                <w:sz w:val="20"/>
                <w:szCs w:val="20"/>
                <w:lang w:eastAsia="hu-HU"/>
              </w:rPr>
            </w:pP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rFonts w:cs="Calibri"/>
                <w:szCs w:val="22"/>
                <w:lang w:eastAsia="hu-HU"/>
              </w:rPr>
            </w:pPr>
            <w:r>
              <w:rPr>
                <w:lang w:eastAsia="hu-HU"/>
              </w:rPr>
              <w:t>2017</w:t>
            </w:r>
          </w:p>
        </w:tc>
        <w:tc>
          <w:tcPr>
            <w:tcW w:w="20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37,25%</w:t>
            </w:r>
          </w:p>
        </w:tc>
        <w:tc>
          <w:tcPr>
            <w:tcW w:w="271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65,79%</w:t>
            </w:r>
          </w:p>
        </w:tc>
        <w:tc>
          <w:tcPr>
            <w:tcW w:w="0" w:type="auto"/>
            <w:vAlign w:val="center"/>
          </w:tcPr>
          <w:p w:rsidR="00795A46" w:rsidRDefault="00795A46">
            <w:pPr>
              <w:suppressAutoHyphens w:val="0"/>
              <w:jc w:val="left"/>
              <w:rPr>
                <w:rFonts w:ascii="Times New Roman" w:hAnsi="Times New Roman"/>
                <w:sz w:val="20"/>
                <w:szCs w:val="20"/>
                <w:lang w:eastAsia="hu-HU"/>
              </w:rPr>
            </w:pP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rFonts w:cs="Calibri"/>
                <w:szCs w:val="22"/>
                <w:lang w:eastAsia="hu-HU"/>
              </w:rPr>
            </w:pPr>
            <w:r>
              <w:rPr>
                <w:lang w:eastAsia="hu-HU"/>
              </w:rPr>
              <w:t>2018</w:t>
            </w:r>
          </w:p>
        </w:tc>
        <w:tc>
          <w:tcPr>
            <w:tcW w:w="20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38,18%</w:t>
            </w:r>
          </w:p>
        </w:tc>
        <w:tc>
          <w:tcPr>
            <w:tcW w:w="271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64,29%</w:t>
            </w:r>
          </w:p>
        </w:tc>
        <w:tc>
          <w:tcPr>
            <w:tcW w:w="0" w:type="auto"/>
            <w:vAlign w:val="center"/>
          </w:tcPr>
          <w:p w:rsidR="00795A46" w:rsidRDefault="00795A46">
            <w:pPr>
              <w:suppressAutoHyphens w:val="0"/>
              <w:jc w:val="left"/>
              <w:rPr>
                <w:rFonts w:ascii="Times New Roman" w:hAnsi="Times New Roman"/>
                <w:sz w:val="20"/>
                <w:szCs w:val="20"/>
                <w:lang w:eastAsia="hu-HU"/>
              </w:rPr>
            </w:pP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rFonts w:cs="Calibri"/>
                <w:szCs w:val="22"/>
                <w:lang w:eastAsia="hu-HU"/>
              </w:rPr>
            </w:pPr>
            <w:r>
              <w:rPr>
                <w:lang w:eastAsia="hu-HU"/>
              </w:rPr>
              <w:t>2019</w:t>
            </w:r>
          </w:p>
        </w:tc>
        <w:tc>
          <w:tcPr>
            <w:tcW w:w="20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40,94%</w:t>
            </w:r>
          </w:p>
        </w:tc>
        <w:tc>
          <w:tcPr>
            <w:tcW w:w="271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48,08%</w:t>
            </w:r>
          </w:p>
        </w:tc>
        <w:tc>
          <w:tcPr>
            <w:tcW w:w="0" w:type="auto"/>
            <w:vAlign w:val="center"/>
          </w:tcPr>
          <w:p w:rsidR="00795A46" w:rsidRDefault="00795A46">
            <w:pPr>
              <w:suppressAutoHyphens w:val="0"/>
              <w:jc w:val="left"/>
              <w:rPr>
                <w:rFonts w:ascii="Times New Roman" w:hAnsi="Times New Roman"/>
                <w:sz w:val="20"/>
                <w:szCs w:val="20"/>
                <w:lang w:eastAsia="hu-HU"/>
              </w:rPr>
            </w:pP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rFonts w:cs="Calibri"/>
                <w:szCs w:val="22"/>
                <w:lang w:eastAsia="hu-HU"/>
              </w:rPr>
            </w:pPr>
            <w:r>
              <w:rPr>
                <w:lang w:eastAsia="hu-HU"/>
              </w:rPr>
              <w:t>2020</w:t>
            </w:r>
          </w:p>
        </w:tc>
        <w:tc>
          <w:tcPr>
            <w:tcW w:w="20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271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0" w:type="auto"/>
            <w:vAlign w:val="center"/>
          </w:tcPr>
          <w:p w:rsidR="00795A46" w:rsidRDefault="00795A46">
            <w:pPr>
              <w:suppressAutoHyphens w:val="0"/>
              <w:jc w:val="left"/>
              <w:rPr>
                <w:rFonts w:ascii="Times New Roman" w:hAnsi="Times New Roman"/>
                <w:sz w:val="20"/>
                <w:szCs w:val="20"/>
                <w:lang w:eastAsia="hu-HU"/>
              </w:rPr>
            </w:pPr>
          </w:p>
        </w:tc>
      </w:tr>
    </w:tbl>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Forrás: TeIR, KSH-TSTAR</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noProof/>
          <w:lang w:eastAsia="hu-HU"/>
        </w:rPr>
        <w:drawing>
          <wp:inline distT="0" distB="0" distL="0" distR="0" wp14:anchorId="0C8D8046" wp14:editId="2B7EB328">
            <wp:extent cx="4476750" cy="2952750"/>
            <wp:effectExtent l="0" t="0" r="0" b="0"/>
            <wp:docPr id="18" name="Diagram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A táblázat alapján elmondható, hogy az 5 évvel korábbihoz mérve csökkenő számú munkanélküliek körében több a regisztrált nő, bár a különbség a két nem között egyre inkább kiegyenlítődni látszik.</w:t>
      </w: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color w:val="000000"/>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b/>
          <w:bCs/>
          <w:i/>
          <w:iCs/>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highlight w:val="green"/>
        </w:rPr>
      </w:pPr>
      <w:r>
        <w:rPr>
          <w:rFonts w:ascii="Times New Roman" w:hAnsi="Times New Roman"/>
          <w:b/>
          <w:bCs/>
          <w:i/>
          <w:iCs/>
          <w:sz w:val="24"/>
        </w:rPr>
        <w:t>b)</w:t>
      </w:r>
      <w:r>
        <w:rPr>
          <w:rFonts w:ascii="Times New Roman" w:hAnsi="Times New Roman"/>
          <w:b/>
          <w:bCs/>
          <w:sz w:val="24"/>
        </w:rPr>
        <w:t xml:space="preserve"> alacsony iskolai végzettségűek foglalkoztatottsága</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highlight w:val="gree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highlight w:val="gree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highlight w:val="green"/>
        </w:rPr>
        <w:t>3.2.4. számú táblázat - Regisztrált munkanélküliek/nyilvántartott álláskeresők száma iskolai végzettség szerint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tbl>
      <w:tblPr>
        <w:tblW w:w="9634" w:type="dxa"/>
        <w:tblInd w:w="-68" w:type="dxa"/>
        <w:tblCellMar>
          <w:left w:w="70" w:type="dxa"/>
          <w:right w:w="70" w:type="dxa"/>
        </w:tblCellMar>
        <w:tblLook w:val="00A0" w:firstRow="1" w:lastRow="0" w:firstColumn="1" w:lastColumn="0" w:noHBand="0" w:noVBand="0"/>
      </w:tblPr>
      <w:tblGrid>
        <w:gridCol w:w="980"/>
        <w:gridCol w:w="2966"/>
        <w:gridCol w:w="865"/>
        <w:gridCol w:w="1412"/>
        <w:gridCol w:w="787"/>
        <w:gridCol w:w="1088"/>
        <w:gridCol w:w="802"/>
        <w:gridCol w:w="799"/>
      </w:tblGrid>
      <w:tr w:rsidR="00795A46" w:rsidTr="00795A46">
        <w:trPr>
          <w:trHeight w:val="1725"/>
        </w:trPr>
        <w:tc>
          <w:tcPr>
            <w:tcW w:w="980" w:type="dxa"/>
            <w:vMerge w:val="restart"/>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jc w:val="center"/>
              <w:rPr>
                <w:rFonts w:cs="Calibri"/>
                <w:b/>
                <w:bCs/>
                <w:szCs w:val="22"/>
                <w:lang w:eastAsia="hu-HU"/>
              </w:rPr>
            </w:pPr>
            <w:r>
              <w:rPr>
                <w:b/>
                <w:bCs/>
                <w:lang w:eastAsia="hu-HU"/>
              </w:rPr>
              <w:t>Év</w:t>
            </w:r>
          </w:p>
        </w:tc>
        <w:tc>
          <w:tcPr>
            <w:tcW w:w="2966" w:type="dxa"/>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Regisztrált munkanélküliek/nyilvántartott álláskeresők száma összesen</w:t>
            </w:r>
            <w:r>
              <w:rPr>
                <w:b/>
                <w:bCs/>
                <w:lang w:eastAsia="hu-HU"/>
              </w:rPr>
              <w:br/>
            </w:r>
            <w:r>
              <w:rPr>
                <w:lang w:eastAsia="hu-HU"/>
              </w:rPr>
              <w:t>(TS 052)</w:t>
            </w:r>
          </w:p>
        </w:tc>
        <w:tc>
          <w:tcPr>
            <w:tcW w:w="5688" w:type="dxa"/>
            <w:gridSpan w:val="6"/>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Regisztrált munkanélküliek/nyilvántartott álláskeresők megoszlása iskolai végzettség szerint</w:t>
            </w:r>
          </w:p>
        </w:tc>
      </w:tr>
      <w:tr w:rsidR="00795A46" w:rsidTr="00795A46">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2277" w:type="dxa"/>
            <w:gridSpan w:val="2"/>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8 általánosnál alacsonyabb végzettség </w:t>
            </w:r>
            <w:r>
              <w:rPr>
                <w:lang w:eastAsia="hu-HU"/>
              </w:rPr>
              <w:t>(TS 036)</w:t>
            </w:r>
          </w:p>
        </w:tc>
        <w:tc>
          <w:tcPr>
            <w:tcW w:w="1875" w:type="dxa"/>
            <w:gridSpan w:val="2"/>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Általános iskolai végzettség </w:t>
            </w:r>
            <w:r>
              <w:rPr>
                <w:lang w:eastAsia="hu-HU"/>
              </w:rPr>
              <w:t>(TS 035)</w:t>
            </w:r>
          </w:p>
        </w:tc>
        <w:tc>
          <w:tcPr>
            <w:tcW w:w="1536" w:type="dxa"/>
            <w:gridSpan w:val="2"/>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8 általánosnál magasabb iskolai végzettség </w:t>
            </w:r>
          </w:p>
        </w:tc>
      </w:tr>
      <w:tr w:rsidR="00795A46" w:rsidTr="00795A46">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2966"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 Fő</w:t>
            </w:r>
          </w:p>
        </w:tc>
        <w:tc>
          <w:tcPr>
            <w:tcW w:w="865"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c>
          <w:tcPr>
            <w:tcW w:w="1412"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w:t>
            </w:r>
          </w:p>
        </w:tc>
        <w:tc>
          <w:tcPr>
            <w:tcW w:w="787"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c>
          <w:tcPr>
            <w:tcW w:w="1088"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w:t>
            </w:r>
          </w:p>
        </w:tc>
        <w:tc>
          <w:tcPr>
            <w:tcW w:w="802"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c>
          <w:tcPr>
            <w:tcW w:w="734"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w:t>
            </w:r>
          </w:p>
        </w:tc>
      </w:tr>
      <w:tr w:rsidR="00795A46" w:rsidTr="00795A46">
        <w:trPr>
          <w:trHeight w:val="300"/>
        </w:trPr>
        <w:tc>
          <w:tcPr>
            <w:tcW w:w="9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296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152</w:t>
            </w:r>
          </w:p>
        </w:tc>
        <w:tc>
          <w:tcPr>
            <w:tcW w:w="86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412"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0,66%</w:t>
            </w:r>
          </w:p>
        </w:tc>
        <w:tc>
          <w:tcPr>
            <w:tcW w:w="7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48</w:t>
            </w:r>
          </w:p>
        </w:tc>
        <w:tc>
          <w:tcPr>
            <w:tcW w:w="1088"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31,58%</w:t>
            </w:r>
          </w:p>
        </w:tc>
        <w:tc>
          <w:tcPr>
            <w:tcW w:w="802"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103</w:t>
            </w:r>
          </w:p>
        </w:tc>
        <w:tc>
          <w:tcPr>
            <w:tcW w:w="734"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67,76%</w:t>
            </w:r>
          </w:p>
        </w:tc>
      </w:tr>
      <w:tr w:rsidR="00795A46" w:rsidTr="00795A46">
        <w:trPr>
          <w:trHeight w:val="300"/>
        </w:trPr>
        <w:tc>
          <w:tcPr>
            <w:tcW w:w="9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2016</w:t>
            </w:r>
          </w:p>
        </w:tc>
        <w:tc>
          <w:tcPr>
            <w:tcW w:w="296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139</w:t>
            </w:r>
          </w:p>
        </w:tc>
        <w:tc>
          <w:tcPr>
            <w:tcW w:w="86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412"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0,72%</w:t>
            </w:r>
          </w:p>
        </w:tc>
        <w:tc>
          <w:tcPr>
            <w:tcW w:w="7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51</w:t>
            </w:r>
          </w:p>
        </w:tc>
        <w:tc>
          <w:tcPr>
            <w:tcW w:w="1088"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36,69%</w:t>
            </w:r>
          </w:p>
        </w:tc>
        <w:tc>
          <w:tcPr>
            <w:tcW w:w="802"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87</w:t>
            </w:r>
          </w:p>
        </w:tc>
        <w:tc>
          <w:tcPr>
            <w:tcW w:w="734"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62,59%</w:t>
            </w:r>
          </w:p>
        </w:tc>
      </w:tr>
      <w:tr w:rsidR="00795A46" w:rsidTr="00795A46">
        <w:trPr>
          <w:trHeight w:val="300"/>
        </w:trPr>
        <w:tc>
          <w:tcPr>
            <w:tcW w:w="9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2017</w:t>
            </w:r>
          </w:p>
        </w:tc>
        <w:tc>
          <w:tcPr>
            <w:tcW w:w="296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102</w:t>
            </w:r>
          </w:p>
        </w:tc>
        <w:tc>
          <w:tcPr>
            <w:tcW w:w="86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412"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0,98%</w:t>
            </w:r>
          </w:p>
        </w:tc>
        <w:tc>
          <w:tcPr>
            <w:tcW w:w="7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52</w:t>
            </w:r>
          </w:p>
        </w:tc>
        <w:tc>
          <w:tcPr>
            <w:tcW w:w="1088"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50,98%</w:t>
            </w:r>
          </w:p>
        </w:tc>
        <w:tc>
          <w:tcPr>
            <w:tcW w:w="802"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49</w:t>
            </w:r>
          </w:p>
        </w:tc>
        <w:tc>
          <w:tcPr>
            <w:tcW w:w="734"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48,04%</w:t>
            </w:r>
          </w:p>
        </w:tc>
      </w:tr>
      <w:tr w:rsidR="00795A46" w:rsidTr="00795A46">
        <w:trPr>
          <w:trHeight w:val="300"/>
        </w:trPr>
        <w:tc>
          <w:tcPr>
            <w:tcW w:w="9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2018</w:t>
            </w:r>
          </w:p>
        </w:tc>
        <w:tc>
          <w:tcPr>
            <w:tcW w:w="296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110</w:t>
            </w:r>
          </w:p>
        </w:tc>
        <w:tc>
          <w:tcPr>
            <w:tcW w:w="86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1412"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1,82%</w:t>
            </w:r>
          </w:p>
        </w:tc>
        <w:tc>
          <w:tcPr>
            <w:tcW w:w="7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47</w:t>
            </w:r>
          </w:p>
        </w:tc>
        <w:tc>
          <w:tcPr>
            <w:tcW w:w="1088"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42,73%</w:t>
            </w:r>
          </w:p>
        </w:tc>
        <w:tc>
          <w:tcPr>
            <w:tcW w:w="802"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61</w:t>
            </w:r>
          </w:p>
        </w:tc>
        <w:tc>
          <w:tcPr>
            <w:tcW w:w="734"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55,45%</w:t>
            </w:r>
          </w:p>
        </w:tc>
      </w:tr>
      <w:tr w:rsidR="00795A46" w:rsidTr="00795A46">
        <w:trPr>
          <w:trHeight w:val="300"/>
        </w:trPr>
        <w:tc>
          <w:tcPr>
            <w:tcW w:w="9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2019</w:t>
            </w:r>
          </w:p>
        </w:tc>
        <w:tc>
          <w:tcPr>
            <w:tcW w:w="296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127</w:t>
            </w:r>
          </w:p>
        </w:tc>
        <w:tc>
          <w:tcPr>
            <w:tcW w:w="86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412"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w:t>
            </w:r>
          </w:p>
        </w:tc>
        <w:tc>
          <w:tcPr>
            <w:tcW w:w="7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50</w:t>
            </w:r>
          </w:p>
        </w:tc>
        <w:tc>
          <w:tcPr>
            <w:tcW w:w="1088"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39,37%</w:t>
            </w:r>
          </w:p>
        </w:tc>
        <w:tc>
          <w:tcPr>
            <w:tcW w:w="802"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w:t>
            </w:r>
          </w:p>
        </w:tc>
        <w:tc>
          <w:tcPr>
            <w:tcW w:w="734"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w:t>
            </w:r>
          </w:p>
        </w:tc>
      </w:tr>
      <w:tr w:rsidR="00795A46" w:rsidTr="00795A46">
        <w:trPr>
          <w:trHeight w:val="300"/>
        </w:trPr>
        <w:tc>
          <w:tcPr>
            <w:tcW w:w="9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2020</w:t>
            </w:r>
          </w:p>
        </w:tc>
        <w:tc>
          <w:tcPr>
            <w:tcW w:w="296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86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412"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w:t>
            </w:r>
          </w:p>
        </w:tc>
        <w:tc>
          <w:tcPr>
            <w:tcW w:w="7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088"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w:t>
            </w:r>
          </w:p>
        </w:tc>
        <w:tc>
          <w:tcPr>
            <w:tcW w:w="802"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w:t>
            </w:r>
          </w:p>
        </w:tc>
        <w:tc>
          <w:tcPr>
            <w:tcW w:w="734"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rPr>
        <w:t>Forrás: TeIR, Nemzeti Foglalkoztatási Szolgálat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cs="Calibri"/>
          <w:noProof/>
          <w:szCs w:val="22"/>
        </w:rPr>
      </w:pPr>
      <w:r>
        <w:rPr>
          <w:noProof/>
          <w:lang w:eastAsia="hu-HU"/>
        </w:rPr>
        <w:drawing>
          <wp:inline distT="0" distB="0" distL="0" distR="0" wp14:anchorId="36ABC213" wp14:editId="764123BF">
            <wp:extent cx="5305425" cy="2305050"/>
            <wp:effectExtent l="0" t="0" r="9525"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5425" cy="2305050"/>
                    </a:xfrm>
                    <a:prstGeom prst="rect">
                      <a:avLst/>
                    </a:prstGeom>
                    <a:noFill/>
                    <a:ln>
                      <a:noFill/>
                    </a:ln>
                  </pic:spPr>
                </pic:pic>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noProof/>
        </w:rPr>
      </w:pP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p>
    <w:p w:rsidR="00795A46" w:rsidRDefault="00795A46" w:rsidP="00795A46">
      <w:pPr>
        <w:pStyle w:val="Tblacm"/>
        <w:keepNext w:val="0"/>
        <w:tabs>
          <w:tab w:val="left" w:pos="567"/>
        </w:tabs>
        <w:rPr>
          <w:rFonts w:ascii="Times New Roman" w:hAnsi="Times New Roman"/>
          <w:sz w:val="24"/>
          <w:szCs w:val="24"/>
        </w:rPr>
      </w:pPr>
      <w:bookmarkStart w:id="40" w:name="__RefHeading__65_1906745769"/>
      <w:bookmarkStart w:id="41" w:name="__RefHeading__69_1906745769"/>
      <w:bookmarkEnd w:id="40"/>
      <w:bookmarkEnd w:id="41"/>
      <w:r>
        <w:rPr>
          <w:rFonts w:ascii="Times New Roman" w:hAnsi="Times New Roman"/>
          <w:sz w:val="24"/>
          <w:szCs w:val="24"/>
        </w:rPr>
        <w:tab/>
        <w:t xml:space="preserve">A fenti táblázatban és az ahhoz kapcsolódó diagramon azt látjuk, hogy a 2016-2019-ig tartó négy évben csökkenést, majd ezt követően emelkedést mutat a regisztrált munkanélküliek száma. 2020-ban sajnos kiugróan magas lett a nyilvántartott álláskeresők száma, közülük is leginkább a középfokú vagy felsőfokú végzettséggel rendelkezők kerültek a Járási Foglalkoztatási Osztály látókörébe. </w:t>
      </w:r>
    </w:p>
    <w:p w:rsidR="00795A46" w:rsidRDefault="00795A46" w:rsidP="00795A46">
      <w:pPr>
        <w:pStyle w:val="Tblacm"/>
        <w:keepNext w:val="0"/>
        <w:rPr>
          <w:rFonts w:ascii="Times New Roman" w:hAnsi="Times New Roman"/>
          <w:sz w:val="24"/>
          <w:szCs w:val="24"/>
        </w:rPr>
      </w:pPr>
      <w:r>
        <w:rPr>
          <w:rFonts w:ascii="Times New Roman" w:hAnsi="Times New Roman"/>
          <w:sz w:val="24"/>
          <w:szCs w:val="24"/>
        </w:rPr>
        <w:t xml:space="preserve">Alacsonyabb iskolai végzettséggel elhelyezkedni általában nagyon nehéz, a munkáltatók ugyanis szívesebben foglalkoztatják azt, akinek szakmája és gyakorlata is van a munka területén. A 2020-as év adatai mégis azt mutatják, hogy a járványhelyzet bekövetkezte kihatott a magasabb iskolai végzettségűek foglalkoztatására is. A nyilvántartott álláskeresők közel 1%-a még a 8 osztályt sem végezte el, de ők is egyre kevesebben vannak. A 8 általános és annál kevesebb iskolai végzettséggel rendelkezők leginkább alkalmi munkából vagy idénymunkából veszik ki a részüket. Az önkormányzat segítségével lebonyolított hosszabb idejű közfoglalkoztatás jelenleg is nagymértékben segíti őket a megélhetésük fenntartásában. A szakképzettség nélküli pályakezdők elhelyezkedési lehetőségei ugyanakkor sajnos korlátozottak, mivel a munkáltatók gyakorlattal rendelkező munkavállalót alkalmaznak. </w:t>
      </w:r>
    </w:p>
    <w:p w:rsidR="00795A46" w:rsidRDefault="00795A46" w:rsidP="00795A46">
      <w:pPr>
        <w:pStyle w:val="Tblacm"/>
        <w:keepNext w:val="0"/>
        <w:rPr>
          <w:rFonts w:ascii="Times New Roman" w:hAnsi="Times New Roman"/>
          <w:color w:val="000000"/>
          <w:sz w:val="24"/>
          <w:szCs w:val="24"/>
        </w:rPr>
      </w:pPr>
      <w:r>
        <w:rPr>
          <w:rFonts w:ascii="Times New Roman" w:hAnsi="Times New Roman"/>
          <w:sz w:val="24"/>
          <w:szCs w:val="24"/>
        </w:rPr>
        <w:t xml:space="preserve">Komolyabb probléma, hogy az általános iskolánál magasabb végzettségűek aránya növekedő </w:t>
      </w:r>
      <w:r>
        <w:rPr>
          <w:rFonts w:ascii="Times New Roman" w:hAnsi="Times New Roman"/>
          <w:color w:val="000000"/>
          <w:sz w:val="24"/>
          <w:szCs w:val="24"/>
        </w:rPr>
        <w:t xml:space="preserve">tendenciát mutat. </w:t>
      </w:r>
      <w:r>
        <w:rPr>
          <w:rFonts w:ascii="Times New Roman" w:hAnsi="Times New Roman"/>
          <w:sz w:val="24"/>
          <w:szCs w:val="24"/>
        </w:rPr>
        <w:t xml:space="preserve">A szakmával rendelkező idősebbek szakmai tudása gyakran már elavult, őket a gyakorlati tudásuk segítheti a mihamarabbi elhelyezkedésben. </w:t>
      </w:r>
    </w:p>
    <w:p w:rsidR="00795A46" w:rsidRDefault="00795A46" w:rsidP="00795A46">
      <w:pPr>
        <w:pStyle w:val="Tblacm"/>
        <w:keepNext w:val="0"/>
        <w:rPr>
          <w:rFonts w:ascii="Times New Roman" w:hAnsi="Times New Roman"/>
          <w:color w:val="000000"/>
          <w:sz w:val="24"/>
          <w:szCs w:val="24"/>
        </w:rPr>
      </w:pPr>
      <w:bookmarkStart w:id="42" w:name="__RefHeading__71_1906745769"/>
      <w:bookmarkEnd w:id="42"/>
      <w:r>
        <w:rPr>
          <w:rFonts w:ascii="Times New Roman" w:hAnsi="Times New Roman"/>
          <w:color w:val="000000"/>
          <w:sz w:val="24"/>
          <w:szCs w:val="24"/>
        </w:rPr>
        <w:t>A munkanélküliek számának erőteljesebb növekedése azzal járt, hogy egyre több, 8 általánosnál magasabb végzettségű kérte álláskeresőkénti nyilvántartásba vételét, az általános iskolai végzettséggel rendelkezők számának azonos mértékű csökkenése mellett, és még 2020-ban is találtunk 8 általánosnál kevesebb végzettséggel rendelkező álláskeresőt.</w:t>
      </w:r>
      <w:bookmarkStart w:id="43" w:name="__RefHeading__77_1906745769"/>
      <w:bookmarkStart w:id="44" w:name="__RefHeading__79_1906745769"/>
      <w:bookmarkStart w:id="45" w:name="__RefHeading__81_1906745769"/>
      <w:bookmarkEnd w:id="43"/>
      <w:bookmarkEnd w:id="44"/>
      <w:bookmarkEnd w:id="45"/>
    </w:p>
    <w:p w:rsidR="00795A46" w:rsidRDefault="00795A46" w:rsidP="00795A46">
      <w:pPr>
        <w:rPr>
          <w:rFonts w:ascii="Times New Roman" w:hAnsi="Times New Roman"/>
          <w:color w:val="000000"/>
          <w:sz w:val="24"/>
        </w:rPr>
      </w:pPr>
      <w:r>
        <w:rPr>
          <w:rFonts w:ascii="Times New Roman" w:hAnsi="Times New Roman"/>
          <w:sz w:val="24"/>
        </w:rPr>
        <w:t xml:space="preserve">Általános iskolai végzettséget nyújtó felnőttoktatás nincs a településen, hiszen a 8 általános iskolai osztályt el nem végezettek száma igen alacsony. </w:t>
      </w:r>
      <w:r>
        <w:rPr>
          <w:rFonts w:ascii="Times New Roman" w:hAnsi="Times New Roman"/>
          <w:color w:val="000000"/>
          <w:sz w:val="24"/>
        </w:rPr>
        <w:t>Nem rendelkezünk igényfelméréssel arra vonatkozóan, hogy a felnőttoktatás keretében megszerezhető általános iskolai végzettséget biztosító képzés iránt az iskolai végzettséggel nem rendelkező aktív korúak közül hányan érdeklődnek.</w:t>
      </w:r>
      <w:bookmarkStart w:id="46" w:name="__RefHeading__85_1906745769"/>
      <w:bookmarkEnd w:id="46"/>
    </w:p>
    <w:p w:rsidR="00795A46" w:rsidRDefault="00795A46" w:rsidP="00795A46">
      <w:pPr>
        <w:rPr>
          <w:rFonts w:ascii="Times New Roman" w:hAnsi="Times New Roman"/>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bookmarkStart w:id="47" w:name="__RefHeading__87_1906745769"/>
      <w:bookmarkEnd w:id="47"/>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A középfokú felnőttoktatásban résztvevők számának alakulása Csorváson 2013-2020 között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9845" w:type="dxa"/>
        <w:jc w:val="center"/>
        <w:tblCellMar>
          <w:left w:w="70" w:type="dxa"/>
          <w:right w:w="70" w:type="dxa"/>
        </w:tblCellMar>
        <w:tblLook w:val="00A0" w:firstRow="1" w:lastRow="0" w:firstColumn="1" w:lastColumn="0" w:noHBand="0" w:noVBand="0"/>
      </w:tblPr>
      <w:tblGrid>
        <w:gridCol w:w="580"/>
        <w:gridCol w:w="1018"/>
        <w:gridCol w:w="980"/>
        <w:gridCol w:w="960"/>
        <w:gridCol w:w="960"/>
        <w:gridCol w:w="960"/>
        <w:gridCol w:w="960"/>
        <w:gridCol w:w="1840"/>
        <w:gridCol w:w="1791"/>
      </w:tblGrid>
      <w:tr w:rsidR="00795A46" w:rsidTr="00795A46">
        <w:trPr>
          <w:trHeight w:val="1565"/>
          <w:jc w:val="center"/>
        </w:trPr>
        <w:tc>
          <w:tcPr>
            <w:tcW w:w="580" w:type="dxa"/>
            <w:vMerge w:val="restart"/>
            <w:tcBorders>
              <w:top w:val="single" w:sz="4" w:space="0" w:color="auto"/>
              <w:left w:val="single" w:sz="4" w:space="0" w:color="auto"/>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b/>
                <w:bCs/>
                <w:color w:val="000000"/>
                <w:szCs w:val="22"/>
                <w:lang w:eastAsia="hu-HU"/>
              </w:rPr>
            </w:pPr>
            <w:r>
              <w:rPr>
                <w:rFonts w:ascii="Times New Roman" w:hAnsi="Times New Roman"/>
                <w:b/>
                <w:bCs/>
                <w:color w:val="000000"/>
                <w:lang w:eastAsia="hu-HU"/>
              </w:rPr>
              <w:t> Év</w:t>
            </w:r>
          </w:p>
        </w:tc>
        <w:tc>
          <w:tcPr>
            <w:tcW w:w="1998" w:type="dxa"/>
            <w:gridSpan w:val="2"/>
            <w:tcBorders>
              <w:top w:val="single" w:sz="4" w:space="0" w:color="auto"/>
              <w:left w:val="nil"/>
              <w:bottom w:val="single" w:sz="4" w:space="0" w:color="auto"/>
              <w:right w:val="single" w:sz="4" w:space="0" w:color="auto"/>
            </w:tcBorders>
            <w:vAlign w:val="center"/>
            <w:hideMark/>
          </w:tcPr>
          <w:p w:rsidR="00795A46" w:rsidRDefault="00795A46">
            <w:pPr>
              <w:suppressAutoHyphens w:val="0"/>
              <w:jc w:val="center"/>
              <w:rPr>
                <w:rFonts w:ascii="Times New Roman" w:hAnsi="Times New Roman"/>
                <w:b/>
                <w:bCs/>
                <w:lang w:eastAsia="hu-HU"/>
              </w:rPr>
            </w:pPr>
            <w:r>
              <w:rPr>
                <w:rFonts w:ascii="Times New Roman" w:hAnsi="Times New Roman"/>
                <w:b/>
                <w:bCs/>
                <w:lang w:eastAsia="hu-HU"/>
              </w:rPr>
              <w:t>Szakiskolai felnőttoktatásban résztvevők száma</w:t>
            </w:r>
          </w:p>
        </w:tc>
        <w:tc>
          <w:tcPr>
            <w:tcW w:w="1920" w:type="dxa"/>
            <w:gridSpan w:val="2"/>
            <w:tcBorders>
              <w:top w:val="single" w:sz="4" w:space="0" w:color="auto"/>
              <w:left w:val="nil"/>
              <w:bottom w:val="single" w:sz="4" w:space="0" w:color="auto"/>
              <w:right w:val="single" w:sz="4" w:space="0" w:color="auto"/>
            </w:tcBorders>
            <w:vAlign w:val="center"/>
            <w:hideMark/>
          </w:tcPr>
          <w:p w:rsidR="00795A46" w:rsidRDefault="00795A46">
            <w:pPr>
              <w:suppressAutoHyphens w:val="0"/>
              <w:jc w:val="center"/>
              <w:rPr>
                <w:rFonts w:ascii="Times New Roman" w:hAnsi="Times New Roman"/>
                <w:b/>
                <w:bCs/>
                <w:lang w:eastAsia="hu-HU"/>
              </w:rPr>
            </w:pPr>
            <w:r>
              <w:rPr>
                <w:rFonts w:ascii="Times New Roman" w:hAnsi="Times New Roman"/>
                <w:b/>
                <w:bCs/>
                <w:lang w:eastAsia="hu-HU"/>
              </w:rPr>
              <w:t>Szakközépiskolai felnőttoktatásban résztvevők száma</w:t>
            </w:r>
          </w:p>
        </w:tc>
        <w:tc>
          <w:tcPr>
            <w:tcW w:w="1920" w:type="dxa"/>
            <w:gridSpan w:val="2"/>
            <w:tcBorders>
              <w:top w:val="single" w:sz="4" w:space="0" w:color="auto"/>
              <w:left w:val="nil"/>
              <w:bottom w:val="single" w:sz="4" w:space="0" w:color="auto"/>
              <w:right w:val="single" w:sz="4" w:space="0" w:color="auto"/>
            </w:tcBorders>
            <w:vAlign w:val="center"/>
            <w:hideMark/>
          </w:tcPr>
          <w:p w:rsidR="00795A46" w:rsidRDefault="00795A46">
            <w:pPr>
              <w:suppressAutoHyphens w:val="0"/>
              <w:jc w:val="center"/>
              <w:rPr>
                <w:rFonts w:ascii="Times New Roman" w:hAnsi="Times New Roman"/>
                <w:b/>
                <w:bCs/>
                <w:lang w:eastAsia="hu-HU"/>
              </w:rPr>
            </w:pPr>
            <w:r>
              <w:rPr>
                <w:rFonts w:ascii="Times New Roman" w:hAnsi="Times New Roman"/>
                <w:b/>
                <w:bCs/>
                <w:lang w:eastAsia="hu-HU"/>
              </w:rPr>
              <w:t>Gimnáziumi felnőttoktatásban résztvevők</w:t>
            </w:r>
          </w:p>
        </w:tc>
        <w:tc>
          <w:tcPr>
            <w:tcW w:w="1840" w:type="dxa"/>
            <w:tcBorders>
              <w:top w:val="single" w:sz="4" w:space="0" w:color="auto"/>
              <w:left w:val="nil"/>
              <w:bottom w:val="single" w:sz="4" w:space="0" w:color="auto"/>
              <w:right w:val="single" w:sz="4" w:space="0" w:color="auto"/>
            </w:tcBorders>
            <w:vAlign w:val="center"/>
            <w:hideMark/>
          </w:tcPr>
          <w:p w:rsidR="00795A46" w:rsidRDefault="00795A46">
            <w:pPr>
              <w:suppressAutoHyphens w:val="0"/>
              <w:jc w:val="center"/>
              <w:rPr>
                <w:rFonts w:ascii="Times New Roman" w:hAnsi="Times New Roman"/>
                <w:b/>
                <w:bCs/>
                <w:color w:val="000000"/>
                <w:lang w:eastAsia="hu-HU"/>
              </w:rPr>
            </w:pPr>
            <w:r>
              <w:rPr>
                <w:rFonts w:ascii="Times New Roman" w:hAnsi="Times New Roman"/>
                <w:b/>
                <w:bCs/>
                <w:color w:val="000000"/>
                <w:lang w:eastAsia="hu-HU"/>
              </w:rPr>
              <w:t>Középiskolai tanulók száma a csorvási  felnőttoktatás különböző évfolyamain (fő)</w:t>
            </w:r>
          </w:p>
        </w:tc>
        <w:tc>
          <w:tcPr>
            <w:tcW w:w="1587" w:type="dxa"/>
            <w:tcBorders>
              <w:top w:val="single" w:sz="4" w:space="0" w:color="auto"/>
              <w:left w:val="nil"/>
              <w:bottom w:val="single" w:sz="4" w:space="0" w:color="auto"/>
              <w:right w:val="single" w:sz="4" w:space="0" w:color="auto"/>
            </w:tcBorders>
          </w:tcPr>
          <w:p w:rsidR="00795A46" w:rsidRDefault="00795A46">
            <w:pPr>
              <w:suppressAutoHyphens w:val="0"/>
              <w:jc w:val="center"/>
              <w:rPr>
                <w:rFonts w:ascii="Times New Roman" w:hAnsi="Times New Roman"/>
                <w:b/>
                <w:bCs/>
                <w:color w:val="000000"/>
                <w:lang w:eastAsia="hu-HU"/>
              </w:rPr>
            </w:pPr>
          </w:p>
          <w:p w:rsidR="00795A46" w:rsidRDefault="00795A46">
            <w:pPr>
              <w:suppressAutoHyphens w:val="0"/>
              <w:jc w:val="center"/>
              <w:rPr>
                <w:rFonts w:ascii="Times New Roman" w:hAnsi="Times New Roman"/>
                <w:b/>
                <w:bCs/>
                <w:color w:val="000000"/>
                <w:lang w:eastAsia="hu-HU"/>
              </w:rPr>
            </w:pPr>
            <w:r>
              <w:rPr>
                <w:rFonts w:ascii="Times New Roman" w:hAnsi="Times New Roman"/>
                <w:b/>
                <w:bCs/>
                <w:lang w:eastAsia="hu-HU"/>
              </w:rPr>
              <w:t>Eredményes érettségi vizsgát tett tanulók száma a csorvási felnőttoktatásban</w:t>
            </w:r>
          </w:p>
        </w:tc>
      </w:tr>
      <w:tr w:rsidR="00795A46" w:rsidTr="00795A46">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rFonts w:ascii="Times New Roman" w:hAnsi="Times New Roman"/>
                <w:b/>
                <w:bCs/>
                <w:color w:val="000000"/>
                <w:szCs w:val="22"/>
                <w:lang w:eastAsia="hu-HU"/>
              </w:rPr>
            </w:pPr>
          </w:p>
        </w:tc>
        <w:tc>
          <w:tcPr>
            <w:tcW w:w="1018"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b/>
                <w:bCs/>
                <w:color w:val="000000"/>
                <w:lang w:eastAsia="hu-HU"/>
              </w:rPr>
            </w:pPr>
            <w:r>
              <w:rPr>
                <w:rFonts w:ascii="Times New Roman" w:hAnsi="Times New Roman"/>
                <w:b/>
                <w:bCs/>
                <w:color w:val="000000"/>
                <w:lang w:eastAsia="hu-HU"/>
              </w:rPr>
              <w:t>Fő</w:t>
            </w:r>
          </w:p>
        </w:tc>
        <w:tc>
          <w:tcPr>
            <w:tcW w:w="98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b/>
                <w:bCs/>
                <w:color w:val="000000"/>
                <w:lang w:eastAsia="hu-HU"/>
              </w:rPr>
            </w:pPr>
            <w:r>
              <w:rPr>
                <w:rFonts w:ascii="Times New Roman" w:hAnsi="Times New Roman"/>
                <w:b/>
                <w:bCs/>
                <w:color w:val="000000"/>
                <w:lang w:eastAsia="hu-HU"/>
              </w:rPr>
              <w:t>%</w:t>
            </w:r>
          </w:p>
        </w:tc>
        <w:tc>
          <w:tcPr>
            <w:tcW w:w="960" w:type="dxa"/>
            <w:tcBorders>
              <w:top w:val="nil"/>
              <w:left w:val="nil"/>
              <w:bottom w:val="single" w:sz="4" w:space="0" w:color="auto"/>
              <w:right w:val="single" w:sz="4" w:space="0" w:color="auto"/>
            </w:tcBorders>
            <w:vAlign w:val="center"/>
            <w:hideMark/>
          </w:tcPr>
          <w:p w:rsidR="00795A46" w:rsidRDefault="00795A46">
            <w:pPr>
              <w:suppressAutoHyphens w:val="0"/>
              <w:jc w:val="center"/>
              <w:rPr>
                <w:rFonts w:ascii="Times New Roman" w:hAnsi="Times New Roman"/>
                <w:b/>
                <w:bCs/>
                <w:color w:val="000000"/>
                <w:lang w:eastAsia="hu-HU"/>
              </w:rPr>
            </w:pPr>
            <w:r>
              <w:rPr>
                <w:rFonts w:ascii="Times New Roman" w:hAnsi="Times New Roman"/>
                <w:b/>
                <w:bCs/>
                <w:color w:val="000000"/>
                <w:lang w:eastAsia="hu-HU"/>
              </w:rPr>
              <w:t>Fő</w:t>
            </w:r>
          </w:p>
        </w:tc>
        <w:tc>
          <w:tcPr>
            <w:tcW w:w="960" w:type="dxa"/>
            <w:tcBorders>
              <w:top w:val="nil"/>
              <w:left w:val="nil"/>
              <w:bottom w:val="single" w:sz="4" w:space="0" w:color="auto"/>
              <w:right w:val="single" w:sz="4" w:space="0" w:color="auto"/>
            </w:tcBorders>
            <w:vAlign w:val="center"/>
            <w:hideMark/>
          </w:tcPr>
          <w:p w:rsidR="00795A46" w:rsidRDefault="00795A46">
            <w:pPr>
              <w:suppressAutoHyphens w:val="0"/>
              <w:jc w:val="center"/>
              <w:rPr>
                <w:rFonts w:ascii="Times New Roman" w:hAnsi="Times New Roman"/>
                <w:b/>
                <w:bCs/>
                <w:color w:val="000000"/>
                <w:lang w:eastAsia="hu-HU"/>
              </w:rPr>
            </w:pPr>
            <w:r>
              <w:rPr>
                <w:rFonts w:ascii="Times New Roman" w:hAnsi="Times New Roman"/>
                <w:b/>
                <w:bCs/>
                <w:color w:val="000000"/>
                <w:lang w:eastAsia="hu-HU"/>
              </w:rPr>
              <w:t>%</w:t>
            </w:r>
          </w:p>
        </w:tc>
        <w:tc>
          <w:tcPr>
            <w:tcW w:w="960" w:type="dxa"/>
            <w:tcBorders>
              <w:top w:val="nil"/>
              <w:left w:val="nil"/>
              <w:bottom w:val="single" w:sz="4" w:space="0" w:color="auto"/>
              <w:right w:val="single" w:sz="4" w:space="0" w:color="auto"/>
            </w:tcBorders>
            <w:vAlign w:val="center"/>
            <w:hideMark/>
          </w:tcPr>
          <w:p w:rsidR="00795A46" w:rsidRDefault="00795A46">
            <w:pPr>
              <w:suppressAutoHyphens w:val="0"/>
              <w:jc w:val="center"/>
              <w:rPr>
                <w:rFonts w:ascii="Times New Roman" w:hAnsi="Times New Roman"/>
                <w:b/>
                <w:bCs/>
                <w:color w:val="000000"/>
                <w:lang w:eastAsia="hu-HU"/>
              </w:rPr>
            </w:pPr>
            <w:r>
              <w:rPr>
                <w:rFonts w:ascii="Times New Roman" w:hAnsi="Times New Roman"/>
                <w:b/>
                <w:bCs/>
                <w:color w:val="000000"/>
                <w:lang w:eastAsia="hu-HU"/>
              </w:rPr>
              <w:t>Fő</w:t>
            </w:r>
          </w:p>
        </w:tc>
        <w:tc>
          <w:tcPr>
            <w:tcW w:w="960" w:type="dxa"/>
            <w:tcBorders>
              <w:top w:val="nil"/>
              <w:left w:val="nil"/>
              <w:bottom w:val="single" w:sz="4" w:space="0" w:color="auto"/>
              <w:right w:val="single" w:sz="4" w:space="0" w:color="auto"/>
            </w:tcBorders>
            <w:vAlign w:val="center"/>
            <w:hideMark/>
          </w:tcPr>
          <w:p w:rsidR="00795A46" w:rsidRDefault="00795A46">
            <w:pPr>
              <w:suppressAutoHyphens w:val="0"/>
              <w:jc w:val="center"/>
              <w:rPr>
                <w:rFonts w:ascii="Times New Roman" w:hAnsi="Times New Roman"/>
                <w:b/>
                <w:bCs/>
                <w:color w:val="000000"/>
                <w:lang w:eastAsia="hu-HU"/>
              </w:rPr>
            </w:pPr>
            <w:r>
              <w:rPr>
                <w:rFonts w:ascii="Times New Roman" w:hAnsi="Times New Roman"/>
                <w:b/>
                <w:bCs/>
                <w:color w:val="000000"/>
                <w:lang w:eastAsia="hu-HU"/>
              </w:rPr>
              <w:t>%</w:t>
            </w:r>
          </w:p>
        </w:tc>
        <w:tc>
          <w:tcPr>
            <w:tcW w:w="1840" w:type="dxa"/>
            <w:tcBorders>
              <w:top w:val="nil"/>
              <w:left w:val="nil"/>
              <w:bottom w:val="single" w:sz="4" w:space="0" w:color="auto"/>
              <w:right w:val="single" w:sz="4" w:space="0" w:color="auto"/>
            </w:tcBorders>
            <w:vAlign w:val="center"/>
            <w:hideMark/>
          </w:tcPr>
          <w:p w:rsidR="00795A46" w:rsidRDefault="00795A46">
            <w:pPr>
              <w:suppressAutoHyphens w:val="0"/>
              <w:jc w:val="center"/>
              <w:rPr>
                <w:rFonts w:ascii="Times New Roman" w:hAnsi="Times New Roman"/>
                <w:b/>
                <w:bCs/>
                <w:lang w:eastAsia="hu-HU"/>
              </w:rPr>
            </w:pPr>
            <w:r>
              <w:rPr>
                <w:rFonts w:ascii="Times New Roman" w:hAnsi="Times New Roman"/>
                <w:b/>
                <w:bCs/>
                <w:lang w:eastAsia="hu-HU"/>
              </w:rPr>
              <w:t>Fő</w:t>
            </w:r>
          </w:p>
        </w:tc>
        <w:tc>
          <w:tcPr>
            <w:tcW w:w="1587" w:type="dxa"/>
            <w:tcBorders>
              <w:top w:val="nil"/>
              <w:left w:val="nil"/>
              <w:bottom w:val="single" w:sz="4" w:space="0" w:color="auto"/>
              <w:right w:val="single" w:sz="4" w:space="0" w:color="auto"/>
            </w:tcBorders>
            <w:hideMark/>
          </w:tcPr>
          <w:p w:rsidR="00795A46" w:rsidRDefault="00795A46">
            <w:pPr>
              <w:suppressAutoHyphens w:val="0"/>
              <w:jc w:val="center"/>
              <w:rPr>
                <w:rFonts w:ascii="Times New Roman" w:hAnsi="Times New Roman"/>
                <w:b/>
                <w:bCs/>
                <w:lang w:eastAsia="hu-HU"/>
              </w:rPr>
            </w:pPr>
            <w:r>
              <w:rPr>
                <w:rFonts w:ascii="Times New Roman" w:hAnsi="Times New Roman"/>
                <w:b/>
                <w:bCs/>
                <w:lang w:eastAsia="hu-HU"/>
              </w:rPr>
              <w:t>Fő</w:t>
            </w:r>
          </w:p>
        </w:tc>
      </w:tr>
      <w:tr w:rsidR="00795A46" w:rsidTr="00795A46">
        <w:trPr>
          <w:trHeight w:val="300"/>
          <w:jc w:val="center"/>
        </w:trPr>
        <w:tc>
          <w:tcPr>
            <w:tcW w:w="580" w:type="dxa"/>
            <w:tcBorders>
              <w:top w:val="nil"/>
              <w:left w:val="single" w:sz="4" w:space="0" w:color="auto"/>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2012</w:t>
            </w:r>
          </w:p>
        </w:tc>
        <w:tc>
          <w:tcPr>
            <w:tcW w:w="1018"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n.a.</w:t>
            </w:r>
          </w:p>
        </w:tc>
        <w:tc>
          <w:tcPr>
            <w:tcW w:w="980" w:type="dxa"/>
            <w:tcBorders>
              <w:top w:val="nil"/>
              <w:left w:val="nil"/>
              <w:bottom w:val="single" w:sz="4" w:space="0" w:color="auto"/>
              <w:right w:val="single" w:sz="4" w:space="0" w:color="auto"/>
            </w:tcBorders>
            <w:noWrap/>
            <w:hideMark/>
          </w:tcPr>
          <w:p w:rsidR="00795A46" w:rsidRDefault="00795A46">
            <w:pPr>
              <w:jc w:val="center"/>
              <w:rPr>
                <w:rFonts w:ascii="Times New Roman" w:hAnsi="Times New Roman"/>
                <w:color w:val="000000"/>
                <w:lang w:eastAsia="hu-HU"/>
              </w:rPr>
            </w:pPr>
            <w:r>
              <w:rPr>
                <w:rFonts w:ascii="Times New Roman" w:hAnsi="Times New Roman"/>
                <w:color w:val="000000"/>
                <w:lang w:eastAsia="hu-HU"/>
              </w:rPr>
              <w:t>n.a.</w:t>
            </w:r>
          </w:p>
        </w:tc>
        <w:tc>
          <w:tcPr>
            <w:tcW w:w="96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n.a.</w:t>
            </w:r>
          </w:p>
        </w:tc>
        <w:tc>
          <w:tcPr>
            <w:tcW w:w="960" w:type="dxa"/>
            <w:tcBorders>
              <w:top w:val="nil"/>
              <w:left w:val="nil"/>
              <w:bottom w:val="single" w:sz="4" w:space="0" w:color="auto"/>
              <w:right w:val="single" w:sz="4" w:space="0" w:color="auto"/>
            </w:tcBorders>
            <w:noWrap/>
            <w:hideMark/>
          </w:tcPr>
          <w:p w:rsidR="00795A46" w:rsidRDefault="00795A46">
            <w:pPr>
              <w:jc w:val="center"/>
              <w:rPr>
                <w:rFonts w:ascii="Times New Roman" w:hAnsi="Times New Roman"/>
                <w:color w:val="000000"/>
                <w:lang w:eastAsia="hu-HU"/>
              </w:rPr>
            </w:pPr>
            <w:r>
              <w:rPr>
                <w:rFonts w:ascii="Times New Roman" w:hAnsi="Times New Roman"/>
                <w:color w:val="000000"/>
                <w:lang w:eastAsia="hu-HU"/>
              </w:rPr>
              <w:t>n.a.</w:t>
            </w:r>
          </w:p>
        </w:tc>
        <w:tc>
          <w:tcPr>
            <w:tcW w:w="96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n.a.</w:t>
            </w:r>
          </w:p>
        </w:tc>
        <w:tc>
          <w:tcPr>
            <w:tcW w:w="960" w:type="dxa"/>
            <w:tcBorders>
              <w:top w:val="nil"/>
              <w:left w:val="nil"/>
              <w:bottom w:val="single" w:sz="4" w:space="0" w:color="auto"/>
              <w:right w:val="single" w:sz="4" w:space="0" w:color="auto"/>
            </w:tcBorders>
            <w:noWrap/>
            <w:hideMark/>
          </w:tcPr>
          <w:p w:rsidR="00795A46" w:rsidRDefault="00795A46">
            <w:pPr>
              <w:jc w:val="center"/>
              <w:rPr>
                <w:rFonts w:ascii="Times New Roman" w:hAnsi="Times New Roman"/>
                <w:color w:val="000000"/>
                <w:lang w:eastAsia="hu-HU"/>
              </w:rPr>
            </w:pPr>
            <w:r>
              <w:rPr>
                <w:rFonts w:ascii="Times New Roman" w:hAnsi="Times New Roman"/>
                <w:color w:val="000000"/>
                <w:lang w:eastAsia="hu-HU"/>
              </w:rPr>
              <w:t>n.a.</w:t>
            </w:r>
          </w:p>
        </w:tc>
        <w:tc>
          <w:tcPr>
            <w:tcW w:w="1840" w:type="dxa"/>
            <w:tcBorders>
              <w:top w:val="nil"/>
              <w:left w:val="nil"/>
              <w:bottom w:val="single" w:sz="4" w:space="0" w:color="auto"/>
              <w:right w:val="single" w:sz="4" w:space="0" w:color="auto"/>
            </w:tcBorders>
            <w:noWrap/>
            <w:vAlign w:val="bottom"/>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n.a.</w:t>
            </w:r>
          </w:p>
        </w:tc>
        <w:tc>
          <w:tcPr>
            <w:tcW w:w="1587" w:type="dxa"/>
            <w:tcBorders>
              <w:top w:val="nil"/>
              <w:left w:val="nil"/>
              <w:bottom w:val="single" w:sz="4" w:space="0" w:color="auto"/>
              <w:right w:val="single" w:sz="4" w:space="0" w:color="auto"/>
            </w:tcBorders>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24</w:t>
            </w:r>
          </w:p>
        </w:tc>
      </w:tr>
      <w:tr w:rsidR="00795A46" w:rsidTr="00795A46">
        <w:trPr>
          <w:trHeight w:val="300"/>
          <w:jc w:val="center"/>
        </w:trPr>
        <w:tc>
          <w:tcPr>
            <w:tcW w:w="580" w:type="dxa"/>
            <w:tcBorders>
              <w:top w:val="nil"/>
              <w:left w:val="single" w:sz="4" w:space="0" w:color="auto"/>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2013</w:t>
            </w:r>
          </w:p>
        </w:tc>
        <w:tc>
          <w:tcPr>
            <w:tcW w:w="1018"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n.a.</w:t>
            </w:r>
          </w:p>
        </w:tc>
        <w:tc>
          <w:tcPr>
            <w:tcW w:w="980" w:type="dxa"/>
            <w:tcBorders>
              <w:top w:val="nil"/>
              <w:left w:val="nil"/>
              <w:bottom w:val="single" w:sz="4" w:space="0" w:color="auto"/>
              <w:right w:val="single" w:sz="4" w:space="0" w:color="auto"/>
            </w:tcBorders>
            <w:noWrap/>
            <w:hideMark/>
          </w:tcPr>
          <w:p w:rsidR="00795A46" w:rsidRDefault="00795A46">
            <w:pPr>
              <w:jc w:val="center"/>
              <w:rPr>
                <w:rFonts w:ascii="Times New Roman" w:hAnsi="Times New Roman"/>
              </w:rPr>
            </w:pPr>
            <w:r>
              <w:rPr>
                <w:rFonts w:ascii="Times New Roman" w:hAnsi="Times New Roman"/>
                <w:color w:val="000000"/>
                <w:lang w:eastAsia="hu-HU"/>
              </w:rPr>
              <w:t>n.a.</w:t>
            </w:r>
          </w:p>
        </w:tc>
        <w:tc>
          <w:tcPr>
            <w:tcW w:w="96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n.a.</w:t>
            </w:r>
          </w:p>
        </w:tc>
        <w:tc>
          <w:tcPr>
            <w:tcW w:w="960" w:type="dxa"/>
            <w:tcBorders>
              <w:top w:val="nil"/>
              <w:left w:val="nil"/>
              <w:bottom w:val="single" w:sz="4" w:space="0" w:color="auto"/>
              <w:right w:val="single" w:sz="4" w:space="0" w:color="auto"/>
            </w:tcBorders>
            <w:noWrap/>
            <w:hideMark/>
          </w:tcPr>
          <w:p w:rsidR="00795A46" w:rsidRDefault="00795A46">
            <w:pPr>
              <w:jc w:val="center"/>
              <w:rPr>
                <w:rFonts w:ascii="Times New Roman" w:hAnsi="Times New Roman"/>
              </w:rPr>
            </w:pPr>
            <w:r>
              <w:rPr>
                <w:rFonts w:ascii="Times New Roman" w:hAnsi="Times New Roman"/>
                <w:color w:val="000000"/>
                <w:lang w:eastAsia="hu-HU"/>
              </w:rPr>
              <w:t>n.a.</w:t>
            </w:r>
          </w:p>
        </w:tc>
        <w:tc>
          <w:tcPr>
            <w:tcW w:w="96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205</w:t>
            </w:r>
          </w:p>
        </w:tc>
        <w:tc>
          <w:tcPr>
            <w:tcW w:w="960" w:type="dxa"/>
            <w:tcBorders>
              <w:top w:val="nil"/>
              <w:left w:val="nil"/>
              <w:bottom w:val="single" w:sz="4" w:space="0" w:color="auto"/>
              <w:right w:val="single" w:sz="4" w:space="0" w:color="auto"/>
            </w:tcBorders>
            <w:noWrap/>
            <w:hideMark/>
          </w:tcPr>
          <w:p w:rsidR="00795A46" w:rsidRDefault="00795A46">
            <w:pPr>
              <w:jc w:val="center"/>
              <w:rPr>
                <w:rFonts w:ascii="Times New Roman" w:hAnsi="Times New Roman"/>
              </w:rPr>
            </w:pPr>
            <w:r>
              <w:rPr>
                <w:rFonts w:ascii="Times New Roman" w:hAnsi="Times New Roman"/>
                <w:color w:val="000000"/>
                <w:lang w:eastAsia="hu-HU"/>
              </w:rPr>
              <w:t>n.a.</w:t>
            </w:r>
          </w:p>
        </w:tc>
        <w:tc>
          <w:tcPr>
            <w:tcW w:w="1840" w:type="dxa"/>
            <w:tcBorders>
              <w:top w:val="nil"/>
              <w:left w:val="nil"/>
              <w:bottom w:val="single" w:sz="4" w:space="0" w:color="auto"/>
              <w:right w:val="single" w:sz="4" w:space="0" w:color="auto"/>
            </w:tcBorders>
            <w:noWrap/>
            <w:vAlign w:val="bottom"/>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205</w:t>
            </w:r>
          </w:p>
        </w:tc>
        <w:tc>
          <w:tcPr>
            <w:tcW w:w="1587" w:type="dxa"/>
            <w:tcBorders>
              <w:top w:val="nil"/>
              <w:left w:val="nil"/>
              <w:bottom w:val="single" w:sz="4" w:space="0" w:color="auto"/>
              <w:right w:val="single" w:sz="4" w:space="0" w:color="auto"/>
            </w:tcBorders>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24</w:t>
            </w:r>
          </w:p>
        </w:tc>
      </w:tr>
      <w:tr w:rsidR="00795A46" w:rsidTr="00795A46">
        <w:trPr>
          <w:trHeight w:val="300"/>
          <w:jc w:val="center"/>
        </w:trPr>
        <w:tc>
          <w:tcPr>
            <w:tcW w:w="580" w:type="dxa"/>
            <w:tcBorders>
              <w:top w:val="nil"/>
              <w:left w:val="single" w:sz="4" w:space="0" w:color="auto"/>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2014</w:t>
            </w:r>
          </w:p>
        </w:tc>
        <w:tc>
          <w:tcPr>
            <w:tcW w:w="1018"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n.a.</w:t>
            </w:r>
          </w:p>
        </w:tc>
        <w:tc>
          <w:tcPr>
            <w:tcW w:w="980" w:type="dxa"/>
            <w:tcBorders>
              <w:top w:val="nil"/>
              <w:left w:val="nil"/>
              <w:bottom w:val="single" w:sz="4" w:space="0" w:color="auto"/>
              <w:right w:val="single" w:sz="4" w:space="0" w:color="auto"/>
            </w:tcBorders>
            <w:noWrap/>
            <w:hideMark/>
          </w:tcPr>
          <w:p w:rsidR="00795A46" w:rsidRDefault="00795A46">
            <w:pPr>
              <w:jc w:val="center"/>
              <w:rPr>
                <w:rFonts w:ascii="Times New Roman" w:hAnsi="Times New Roman"/>
              </w:rPr>
            </w:pPr>
            <w:r>
              <w:rPr>
                <w:rFonts w:ascii="Times New Roman" w:hAnsi="Times New Roman"/>
                <w:color w:val="000000"/>
                <w:lang w:eastAsia="hu-HU"/>
              </w:rPr>
              <w:t>n.a.</w:t>
            </w:r>
          </w:p>
        </w:tc>
        <w:tc>
          <w:tcPr>
            <w:tcW w:w="96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n.a.</w:t>
            </w:r>
          </w:p>
        </w:tc>
        <w:tc>
          <w:tcPr>
            <w:tcW w:w="960" w:type="dxa"/>
            <w:tcBorders>
              <w:top w:val="nil"/>
              <w:left w:val="nil"/>
              <w:bottom w:val="single" w:sz="4" w:space="0" w:color="auto"/>
              <w:right w:val="single" w:sz="4" w:space="0" w:color="auto"/>
            </w:tcBorders>
            <w:noWrap/>
            <w:hideMark/>
          </w:tcPr>
          <w:p w:rsidR="00795A46" w:rsidRDefault="00795A46">
            <w:pPr>
              <w:jc w:val="center"/>
              <w:rPr>
                <w:rFonts w:ascii="Times New Roman" w:hAnsi="Times New Roman"/>
              </w:rPr>
            </w:pPr>
            <w:r>
              <w:rPr>
                <w:rFonts w:ascii="Times New Roman" w:hAnsi="Times New Roman"/>
                <w:color w:val="000000"/>
                <w:lang w:eastAsia="hu-HU"/>
              </w:rPr>
              <w:t>n.a.</w:t>
            </w:r>
          </w:p>
        </w:tc>
        <w:tc>
          <w:tcPr>
            <w:tcW w:w="96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160</w:t>
            </w:r>
          </w:p>
        </w:tc>
        <w:tc>
          <w:tcPr>
            <w:tcW w:w="960" w:type="dxa"/>
            <w:tcBorders>
              <w:top w:val="nil"/>
              <w:left w:val="nil"/>
              <w:bottom w:val="single" w:sz="4" w:space="0" w:color="auto"/>
              <w:right w:val="single" w:sz="4" w:space="0" w:color="auto"/>
            </w:tcBorders>
            <w:noWrap/>
            <w:hideMark/>
          </w:tcPr>
          <w:p w:rsidR="00795A46" w:rsidRDefault="00795A46">
            <w:pPr>
              <w:jc w:val="center"/>
              <w:rPr>
                <w:rFonts w:ascii="Times New Roman" w:hAnsi="Times New Roman"/>
              </w:rPr>
            </w:pPr>
            <w:r>
              <w:rPr>
                <w:rFonts w:ascii="Times New Roman" w:hAnsi="Times New Roman"/>
                <w:color w:val="000000"/>
                <w:lang w:eastAsia="hu-HU"/>
              </w:rPr>
              <w:t>n.a.</w:t>
            </w:r>
          </w:p>
        </w:tc>
        <w:tc>
          <w:tcPr>
            <w:tcW w:w="1840" w:type="dxa"/>
            <w:tcBorders>
              <w:top w:val="nil"/>
              <w:left w:val="nil"/>
              <w:bottom w:val="single" w:sz="4" w:space="0" w:color="auto"/>
              <w:right w:val="single" w:sz="4" w:space="0" w:color="auto"/>
            </w:tcBorders>
            <w:noWrap/>
            <w:vAlign w:val="bottom"/>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160</w:t>
            </w:r>
          </w:p>
        </w:tc>
        <w:tc>
          <w:tcPr>
            <w:tcW w:w="1587" w:type="dxa"/>
            <w:tcBorders>
              <w:top w:val="nil"/>
              <w:left w:val="nil"/>
              <w:bottom w:val="single" w:sz="4" w:space="0" w:color="auto"/>
              <w:right w:val="single" w:sz="4" w:space="0" w:color="auto"/>
            </w:tcBorders>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35</w:t>
            </w:r>
          </w:p>
        </w:tc>
      </w:tr>
      <w:tr w:rsidR="00795A46" w:rsidTr="00795A46">
        <w:trPr>
          <w:trHeight w:val="300"/>
          <w:jc w:val="center"/>
        </w:trPr>
        <w:tc>
          <w:tcPr>
            <w:tcW w:w="580" w:type="dxa"/>
            <w:tcBorders>
              <w:top w:val="nil"/>
              <w:left w:val="single" w:sz="4" w:space="0" w:color="auto"/>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2015</w:t>
            </w:r>
          </w:p>
        </w:tc>
        <w:tc>
          <w:tcPr>
            <w:tcW w:w="1018"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n.a.</w:t>
            </w:r>
          </w:p>
        </w:tc>
        <w:tc>
          <w:tcPr>
            <w:tcW w:w="980" w:type="dxa"/>
            <w:tcBorders>
              <w:top w:val="nil"/>
              <w:left w:val="nil"/>
              <w:bottom w:val="single" w:sz="4" w:space="0" w:color="auto"/>
              <w:right w:val="single" w:sz="4" w:space="0" w:color="auto"/>
            </w:tcBorders>
            <w:noWrap/>
            <w:hideMark/>
          </w:tcPr>
          <w:p w:rsidR="00795A46" w:rsidRDefault="00795A46">
            <w:pPr>
              <w:jc w:val="center"/>
              <w:rPr>
                <w:rFonts w:ascii="Times New Roman" w:hAnsi="Times New Roman"/>
              </w:rPr>
            </w:pPr>
            <w:r>
              <w:rPr>
                <w:rFonts w:ascii="Times New Roman" w:hAnsi="Times New Roman"/>
                <w:color w:val="000000"/>
                <w:lang w:eastAsia="hu-HU"/>
              </w:rPr>
              <w:t>n.a.</w:t>
            </w:r>
          </w:p>
        </w:tc>
        <w:tc>
          <w:tcPr>
            <w:tcW w:w="96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n.a.</w:t>
            </w:r>
          </w:p>
        </w:tc>
        <w:tc>
          <w:tcPr>
            <w:tcW w:w="960" w:type="dxa"/>
            <w:tcBorders>
              <w:top w:val="nil"/>
              <w:left w:val="nil"/>
              <w:bottom w:val="single" w:sz="4" w:space="0" w:color="auto"/>
              <w:right w:val="single" w:sz="4" w:space="0" w:color="auto"/>
            </w:tcBorders>
            <w:noWrap/>
            <w:hideMark/>
          </w:tcPr>
          <w:p w:rsidR="00795A46" w:rsidRDefault="00795A46">
            <w:pPr>
              <w:jc w:val="center"/>
              <w:rPr>
                <w:rFonts w:ascii="Times New Roman" w:hAnsi="Times New Roman"/>
              </w:rPr>
            </w:pPr>
            <w:r>
              <w:rPr>
                <w:rFonts w:ascii="Times New Roman" w:hAnsi="Times New Roman"/>
                <w:color w:val="000000"/>
                <w:lang w:eastAsia="hu-HU"/>
              </w:rPr>
              <w:t>n.a.</w:t>
            </w:r>
          </w:p>
        </w:tc>
        <w:tc>
          <w:tcPr>
            <w:tcW w:w="96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160</w:t>
            </w:r>
          </w:p>
        </w:tc>
        <w:tc>
          <w:tcPr>
            <w:tcW w:w="960" w:type="dxa"/>
            <w:tcBorders>
              <w:top w:val="nil"/>
              <w:left w:val="nil"/>
              <w:bottom w:val="single" w:sz="4" w:space="0" w:color="auto"/>
              <w:right w:val="single" w:sz="4" w:space="0" w:color="auto"/>
            </w:tcBorders>
            <w:noWrap/>
            <w:hideMark/>
          </w:tcPr>
          <w:p w:rsidR="00795A46" w:rsidRDefault="00795A46">
            <w:pPr>
              <w:jc w:val="center"/>
              <w:rPr>
                <w:rFonts w:ascii="Times New Roman" w:hAnsi="Times New Roman"/>
              </w:rPr>
            </w:pPr>
            <w:r>
              <w:rPr>
                <w:rFonts w:ascii="Times New Roman" w:hAnsi="Times New Roman"/>
                <w:color w:val="000000"/>
                <w:lang w:eastAsia="hu-HU"/>
              </w:rPr>
              <w:t>n.a.</w:t>
            </w:r>
          </w:p>
        </w:tc>
        <w:tc>
          <w:tcPr>
            <w:tcW w:w="1840" w:type="dxa"/>
            <w:tcBorders>
              <w:top w:val="nil"/>
              <w:left w:val="nil"/>
              <w:bottom w:val="single" w:sz="4" w:space="0" w:color="auto"/>
              <w:right w:val="single" w:sz="4" w:space="0" w:color="auto"/>
            </w:tcBorders>
            <w:noWrap/>
            <w:vAlign w:val="bottom"/>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160</w:t>
            </w:r>
          </w:p>
        </w:tc>
        <w:tc>
          <w:tcPr>
            <w:tcW w:w="1587" w:type="dxa"/>
            <w:tcBorders>
              <w:top w:val="nil"/>
              <w:left w:val="nil"/>
              <w:bottom w:val="single" w:sz="4" w:space="0" w:color="auto"/>
              <w:right w:val="single" w:sz="4" w:space="0" w:color="auto"/>
            </w:tcBorders>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21</w:t>
            </w:r>
          </w:p>
        </w:tc>
      </w:tr>
      <w:tr w:rsidR="00795A46" w:rsidTr="00795A46">
        <w:trPr>
          <w:trHeight w:val="300"/>
          <w:jc w:val="center"/>
        </w:trPr>
        <w:tc>
          <w:tcPr>
            <w:tcW w:w="580" w:type="dxa"/>
            <w:tcBorders>
              <w:top w:val="nil"/>
              <w:left w:val="single" w:sz="4" w:space="0" w:color="auto"/>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2016</w:t>
            </w:r>
          </w:p>
        </w:tc>
        <w:tc>
          <w:tcPr>
            <w:tcW w:w="1018"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n.a.</w:t>
            </w:r>
          </w:p>
        </w:tc>
        <w:tc>
          <w:tcPr>
            <w:tcW w:w="980" w:type="dxa"/>
            <w:tcBorders>
              <w:top w:val="nil"/>
              <w:left w:val="nil"/>
              <w:bottom w:val="single" w:sz="4" w:space="0" w:color="auto"/>
              <w:right w:val="single" w:sz="4" w:space="0" w:color="auto"/>
            </w:tcBorders>
            <w:noWrap/>
            <w:hideMark/>
          </w:tcPr>
          <w:p w:rsidR="00795A46" w:rsidRDefault="00795A46">
            <w:pPr>
              <w:jc w:val="center"/>
              <w:rPr>
                <w:rFonts w:ascii="Times New Roman" w:hAnsi="Times New Roman"/>
              </w:rPr>
            </w:pPr>
            <w:r>
              <w:rPr>
                <w:rFonts w:ascii="Times New Roman" w:hAnsi="Times New Roman"/>
                <w:color w:val="000000"/>
                <w:lang w:eastAsia="hu-HU"/>
              </w:rPr>
              <w:t>n.a.</w:t>
            </w:r>
          </w:p>
        </w:tc>
        <w:tc>
          <w:tcPr>
            <w:tcW w:w="96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n.a.</w:t>
            </w:r>
          </w:p>
        </w:tc>
        <w:tc>
          <w:tcPr>
            <w:tcW w:w="960" w:type="dxa"/>
            <w:tcBorders>
              <w:top w:val="nil"/>
              <w:left w:val="nil"/>
              <w:bottom w:val="single" w:sz="4" w:space="0" w:color="auto"/>
              <w:right w:val="single" w:sz="4" w:space="0" w:color="auto"/>
            </w:tcBorders>
            <w:noWrap/>
            <w:hideMark/>
          </w:tcPr>
          <w:p w:rsidR="00795A46" w:rsidRDefault="00795A46">
            <w:pPr>
              <w:jc w:val="center"/>
              <w:rPr>
                <w:rFonts w:ascii="Times New Roman" w:hAnsi="Times New Roman"/>
              </w:rPr>
            </w:pPr>
            <w:r>
              <w:rPr>
                <w:rFonts w:ascii="Times New Roman" w:hAnsi="Times New Roman"/>
                <w:color w:val="000000"/>
                <w:lang w:eastAsia="hu-HU"/>
              </w:rPr>
              <w:t>n.a.</w:t>
            </w:r>
          </w:p>
        </w:tc>
        <w:tc>
          <w:tcPr>
            <w:tcW w:w="96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114</w:t>
            </w:r>
          </w:p>
        </w:tc>
        <w:tc>
          <w:tcPr>
            <w:tcW w:w="960" w:type="dxa"/>
            <w:tcBorders>
              <w:top w:val="nil"/>
              <w:left w:val="nil"/>
              <w:bottom w:val="single" w:sz="4" w:space="0" w:color="auto"/>
              <w:right w:val="single" w:sz="4" w:space="0" w:color="auto"/>
            </w:tcBorders>
            <w:noWrap/>
            <w:hideMark/>
          </w:tcPr>
          <w:p w:rsidR="00795A46" w:rsidRDefault="00795A46">
            <w:pPr>
              <w:jc w:val="center"/>
              <w:rPr>
                <w:rFonts w:ascii="Times New Roman" w:hAnsi="Times New Roman"/>
              </w:rPr>
            </w:pPr>
            <w:r>
              <w:rPr>
                <w:rFonts w:ascii="Times New Roman" w:hAnsi="Times New Roman"/>
                <w:color w:val="000000"/>
                <w:lang w:eastAsia="hu-HU"/>
              </w:rPr>
              <w:t>n.a.</w:t>
            </w:r>
          </w:p>
        </w:tc>
        <w:tc>
          <w:tcPr>
            <w:tcW w:w="1840" w:type="dxa"/>
            <w:tcBorders>
              <w:top w:val="nil"/>
              <w:left w:val="nil"/>
              <w:bottom w:val="single" w:sz="4" w:space="0" w:color="auto"/>
              <w:right w:val="single" w:sz="4" w:space="0" w:color="auto"/>
            </w:tcBorders>
            <w:noWrap/>
            <w:vAlign w:val="bottom"/>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114</w:t>
            </w:r>
          </w:p>
        </w:tc>
        <w:tc>
          <w:tcPr>
            <w:tcW w:w="1587" w:type="dxa"/>
            <w:tcBorders>
              <w:top w:val="nil"/>
              <w:left w:val="nil"/>
              <w:bottom w:val="single" w:sz="4" w:space="0" w:color="auto"/>
              <w:right w:val="single" w:sz="4" w:space="0" w:color="auto"/>
            </w:tcBorders>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26</w:t>
            </w:r>
          </w:p>
        </w:tc>
      </w:tr>
      <w:tr w:rsidR="00795A46" w:rsidTr="00795A46">
        <w:trPr>
          <w:trHeight w:val="300"/>
          <w:jc w:val="center"/>
        </w:trPr>
        <w:tc>
          <w:tcPr>
            <w:tcW w:w="580" w:type="dxa"/>
            <w:tcBorders>
              <w:top w:val="single" w:sz="4" w:space="0" w:color="auto"/>
              <w:left w:val="single" w:sz="4" w:space="0" w:color="auto"/>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2017</w:t>
            </w:r>
          </w:p>
        </w:tc>
        <w:tc>
          <w:tcPr>
            <w:tcW w:w="1018"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n.a.</w:t>
            </w:r>
          </w:p>
        </w:tc>
        <w:tc>
          <w:tcPr>
            <w:tcW w:w="980" w:type="dxa"/>
            <w:tcBorders>
              <w:top w:val="single" w:sz="4" w:space="0" w:color="auto"/>
              <w:left w:val="nil"/>
              <w:bottom w:val="single" w:sz="4" w:space="0" w:color="auto"/>
              <w:right w:val="single" w:sz="4" w:space="0" w:color="auto"/>
            </w:tcBorders>
            <w:noWrap/>
            <w:hideMark/>
          </w:tcPr>
          <w:p w:rsidR="00795A46" w:rsidRDefault="00795A46">
            <w:pPr>
              <w:jc w:val="center"/>
              <w:rPr>
                <w:rFonts w:ascii="Times New Roman" w:hAnsi="Times New Roman"/>
              </w:rPr>
            </w:pPr>
            <w:r>
              <w:rPr>
                <w:rFonts w:ascii="Times New Roman" w:hAnsi="Times New Roman"/>
                <w:color w:val="000000"/>
                <w:lang w:eastAsia="hu-HU"/>
              </w:rPr>
              <w:t>n.a.</w:t>
            </w:r>
          </w:p>
        </w:tc>
        <w:tc>
          <w:tcPr>
            <w:tcW w:w="960"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n.a.</w:t>
            </w:r>
          </w:p>
        </w:tc>
        <w:tc>
          <w:tcPr>
            <w:tcW w:w="960" w:type="dxa"/>
            <w:tcBorders>
              <w:top w:val="single" w:sz="4" w:space="0" w:color="auto"/>
              <w:left w:val="nil"/>
              <w:bottom w:val="single" w:sz="4" w:space="0" w:color="auto"/>
              <w:right w:val="single" w:sz="4" w:space="0" w:color="auto"/>
            </w:tcBorders>
            <w:noWrap/>
            <w:hideMark/>
          </w:tcPr>
          <w:p w:rsidR="00795A46" w:rsidRDefault="00795A46">
            <w:pPr>
              <w:jc w:val="center"/>
              <w:rPr>
                <w:rFonts w:ascii="Times New Roman" w:hAnsi="Times New Roman"/>
              </w:rPr>
            </w:pPr>
            <w:r>
              <w:rPr>
                <w:rFonts w:ascii="Times New Roman" w:hAnsi="Times New Roman"/>
                <w:color w:val="000000"/>
                <w:lang w:eastAsia="hu-HU"/>
              </w:rPr>
              <w:t>n.a.</w:t>
            </w:r>
          </w:p>
        </w:tc>
        <w:tc>
          <w:tcPr>
            <w:tcW w:w="960"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114</w:t>
            </w:r>
          </w:p>
        </w:tc>
        <w:tc>
          <w:tcPr>
            <w:tcW w:w="960" w:type="dxa"/>
            <w:tcBorders>
              <w:top w:val="single" w:sz="4" w:space="0" w:color="auto"/>
              <w:left w:val="nil"/>
              <w:bottom w:val="single" w:sz="4" w:space="0" w:color="auto"/>
              <w:right w:val="single" w:sz="4" w:space="0" w:color="auto"/>
            </w:tcBorders>
            <w:noWrap/>
            <w:hideMark/>
          </w:tcPr>
          <w:p w:rsidR="00795A46" w:rsidRDefault="00795A46">
            <w:pPr>
              <w:jc w:val="center"/>
              <w:rPr>
                <w:rFonts w:ascii="Times New Roman" w:hAnsi="Times New Roman"/>
              </w:rPr>
            </w:pPr>
            <w:r>
              <w:rPr>
                <w:rFonts w:ascii="Times New Roman" w:hAnsi="Times New Roman"/>
                <w:color w:val="000000"/>
                <w:lang w:eastAsia="hu-HU"/>
              </w:rPr>
              <w:t>n.a.</w:t>
            </w:r>
          </w:p>
        </w:tc>
        <w:tc>
          <w:tcPr>
            <w:tcW w:w="1840" w:type="dxa"/>
            <w:tcBorders>
              <w:top w:val="single" w:sz="4" w:space="0" w:color="auto"/>
              <w:left w:val="nil"/>
              <w:bottom w:val="single" w:sz="4" w:space="0" w:color="auto"/>
              <w:right w:val="single" w:sz="4" w:space="0" w:color="auto"/>
            </w:tcBorders>
            <w:noWrap/>
            <w:vAlign w:val="bottom"/>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114</w:t>
            </w:r>
          </w:p>
        </w:tc>
        <w:tc>
          <w:tcPr>
            <w:tcW w:w="1587" w:type="dxa"/>
            <w:tcBorders>
              <w:top w:val="single" w:sz="4" w:space="0" w:color="auto"/>
              <w:left w:val="nil"/>
              <w:bottom w:val="single" w:sz="4" w:space="0" w:color="auto"/>
              <w:right w:val="single" w:sz="4" w:space="0" w:color="auto"/>
            </w:tcBorders>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18</w:t>
            </w:r>
          </w:p>
        </w:tc>
      </w:tr>
      <w:tr w:rsidR="00795A46" w:rsidTr="00795A46">
        <w:trPr>
          <w:trHeight w:val="300"/>
          <w:jc w:val="center"/>
        </w:trPr>
        <w:tc>
          <w:tcPr>
            <w:tcW w:w="580" w:type="dxa"/>
            <w:tcBorders>
              <w:top w:val="single" w:sz="4" w:space="0" w:color="auto"/>
              <w:left w:val="single" w:sz="4" w:space="0" w:color="auto"/>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2018</w:t>
            </w:r>
          </w:p>
        </w:tc>
        <w:tc>
          <w:tcPr>
            <w:tcW w:w="1018"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n.a.</w:t>
            </w:r>
          </w:p>
        </w:tc>
        <w:tc>
          <w:tcPr>
            <w:tcW w:w="980" w:type="dxa"/>
            <w:tcBorders>
              <w:top w:val="single" w:sz="4" w:space="0" w:color="auto"/>
              <w:left w:val="nil"/>
              <w:bottom w:val="single" w:sz="4" w:space="0" w:color="auto"/>
              <w:right w:val="single" w:sz="4" w:space="0" w:color="auto"/>
            </w:tcBorders>
            <w:noWrap/>
            <w:hideMark/>
          </w:tcPr>
          <w:p w:rsidR="00795A46" w:rsidRDefault="00795A46">
            <w:pPr>
              <w:jc w:val="center"/>
              <w:rPr>
                <w:rFonts w:ascii="Times New Roman" w:hAnsi="Times New Roman"/>
                <w:color w:val="000000"/>
                <w:lang w:eastAsia="hu-HU"/>
              </w:rPr>
            </w:pPr>
            <w:r>
              <w:rPr>
                <w:rFonts w:ascii="Times New Roman" w:hAnsi="Times New Roman"/>
                <w:color w:val="000000"/>
                <w:lang w:eastAsia="hu-HU"/>
              </w:rPr>
              <w:t>n.a.</w:t>
            </w:r>
          </w:p>
        </w:tc>
        <w:tc>
          <w:tcPr>
            <w:tcW w:w="960"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n.a.</w:t>
            </w:r>
          </w:p>
        </w:tc>
        <w:tc>
          <w:tcPr>
            <w:tcW w:w="960" w:type="dxa"/>
            <w:tcBorders>
              <w:top w:val="single" w:sz="4" w:space="0" w:color="auto"/>
              <w:left w:val="nil"/>
              <w:bottom w:val="single" w:sz="4" w:space="0" w:color="auto"/>
              <w:right w:val="single" w:sz="4" w:space="0" w:color="auto"/>
            </w:tcBorders>
            <w:noWrap/>
            <w:hideMark/>
          </w:tcPr>
          <w:p w:rsidR="00795A46" w:rsidRDefault="00795A46">
            <w:pPr>
              <w:jc w:val="center"/>
              <w:rPr>
                <w:rFonts w:ascii="Times New Roman" w:hAnsi="Times New Roman"/>
                <w:color w:val="000000"/>
                <w:lang w:eastAsia="hu-HU"/>
              </w:rPr>
            </w:pPr>
            <w:r>
              <w:rPr>
                <w:rFonts w:ascii="Times New Roman" w:hAnsi="Times New Roman"/>
                <w:color w:val="000000"/>
                <w:lang w:eastAsia="hu-HU"/>
              </w:rPr>
              <w:t>n.a.</w:t>
            </w:r>
          </w:p>
        </w:tc>
        <w:tc>
          <w:tcPr>
            <w:tcW w:w="960"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114</w:t>
            </w:r>
          </w:p>
        </w:tc>
        <w:tc>
          <w:tcPr>
            <w:tcW w:w="960" w:type="dxa"/>
            <w:tcBorders>
              <w:top w:val="single" w:sz="4" w:space="0" w:color="auto"/>
              <w:left w:val="nil"/>
              <w:bottom w:val="single" w:sz="4" w:space="0" w:color="auto"/>
              <w:right w:val="single" w:sz="4" w:space="0" w:color="auto"/>
            </w:tcBorders>
            <w:noWrap/>
            <w:hideMark/>
          </w:tcPr>
          <w:p w:rsidR="00795A46" w:rsidRDefault="00795A46">
            <w:pPr>
              <w:jc w:val="center"/>
              <w:rPr>
                <w:rFonts w:ascii="Times New Roman" w:hAnsi="Times New Roman"/>
                <w:color w:val="000000"/>
                <w:lang w:eastAsia="hu-HU"/>
              </w:rPr>
            </w:pPr>
            <w:r>
              <w:rPr>
                <w:rFonts w:ascii="Times New Roman" w:hAnsi="Times New Roman"/>
                <w:color w:val="000000"/>
                <w:lang w:eastAsia="hu-HU"/>
              </w:rPr>
              <w:t>n.a.</w:t>
            </w:r>
          </w:p>
        </w:tc>
        <w:tc>
          <w:tcPr>
            <w:tcW w:w="1840" w:type="dxa"/>
            <w:tcBorders>
              <w:top w:val="single" w:sz="4" w:space="0" w:color="auto"/>
              <w:left w:val="nil"/>
              <w:bottom w:val="single" w:sz="4" w:space="0" w:color="auto"/>
              <w:right w:val="single" w:sz="4" w:space="0" w:color="auto"/>
            </w:tcBorders>
            <w:noWrap/>
            <w:vAlign w:val="bottom"/>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114</w:t>
            </w:r>
          </w:p>
        </w:tc>
        <w:tc>
          <w:tcPr>
            <w:tcW w:w="1587" w:type="dxa"/>
            <w:tcBorders>
              <w:top w:val="single" w:sz="4" w:space="0" w:color="auto"/>
              <w:left w:val="nil"/>
              <w:bottom w:val="single" w:sz="4" w:space="0" w:color="auto"/>
              <w:right w:val="single" w:sz="4" w:space="0" w:color="auto"/>
            </w:tcBorders>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21</w:t>
            </w:r>
          </w:p>
        </w:tc>
      </w:tr>
      <w:tr w:rsidR="00795A46" w:rsidTr="00795A46">
        <w:trPr>
          <w:trHeight w:val="300"/>
          <w:jc w:val="center"/>
        </w:trPr>
        <w:tc>
          <w:tcPr>
            <w:tcW w:w="580" w:type="dxa"/>
            <w:tcBorders>
              <w:top w:val="single" w:sz="4" w:space="0" w:color="auto"/>
              <w:left w:val="single" w:sz="4" w:space="0" w:color="auto"/>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2019</w:t>
            </w:r>
          </w:p>
        </w:tc>
        <w:tc>
          <w:tcPr>
            <w:tcW w:w="1018"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n.a.</w:t>
            </w:r>
          </w:p>
        </w:tc>
        <w:tc>
          <w:tcPr>
            <w:tcW w:w="980" w:type="dxa"/>
            <w:tcBorders>
              <w:top w:val="single" w:sz="4" w:space="0" w:color="auto"/>
              <w:left w:val="nil"/>
              <w:bottom w:val="single" w:sz="4" w:space="0" w:color="auto"/>
              <w:right w:val="single" w:sz="4" w:space="0" w:color="auto"/>
            </w:tcBorders>
            <w:noWrap/>
            <w:hideMark/>
          </w:tcPr>
          <w:p w:rsidR="00795A46" w:rsidRDefault="00795A46">
            <w:pPr>
              <w:jc w:val="center"/>
              <w:rPr>
                <w:rFonts w:ascii="Times New Roman" w:hAnsi="Times New Roman"/>
                <w:color w:val="000000"/>
                <w:lang w:eastAsia="hu-HU"/>
              </w:rPr>
            </w:pPr>
            <w:r>
              <w:rPr>
                <w:rFonts w:ascii="Times New Roman" w:hAnsi="Times New Roman"/>
                <w:color w:val="000000"/>
                <w:lang w:eastAsia="hu-HU"/>
              </w:rPr>
              <w:t>n.a.</w:t>
            </w:r>
          </w:p>
        </w:tc>
        <w:tc>
          <w:tcPr>
            <w:tcW w:w="960"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n.a.</w:t>
            </w:r>
          </w:p>
        </w:tc>
        <w:tc>
          <w:tcPr>
            <w:tcW w:w="960" w:type="dxa"/>
            <w:tcBorders>
              <w:top w:val="single" w:sz="4" w:space="0" w:color="auto"/>
              <w:left w:val="nil"/>
              <w:bottom w:val="single" w:sz="4" w:space="0" w:color="auto"/>
              <w:right w:val="single" w:sz="4" w:space="0" w:color="auto"/>
            </w:tcBorders>
            <w:noWrap/>
            <w:hideMark/>
          </w:tcPr>
          <w:p w:rsidR="00795A46" w:rsidRDefault="00795A46">
            <w:pPr>
              <w:jc w:val="center"/>
              <w:rPr>
                <w:rFonts w:ascii="Times New Roman" w:hAnsi="Times New Roman"/>
                <w:color w:val="000000"/>
                <w:lang w:eastAsia="hu-HU"/>
              </w:rPr>
            </w:pPr>
            <w:r>
              <w:rPr>
                <w:rFonts w:ascii="Times New Roman" w:hAnsi="Times New Roman"/>
                <w:color w:val="000000"/>
                <w:lang w:eastAsia="hu-HU"/>
              </w:rPr>
              <w:t>n.a.</w:t>
            </w:r>
          </w:p>
        </w:tc>
        <w:tc>
          <w:tcPr>
            <w:tcW w:w="960"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109</w:t>
            </w:r>
          </w:p>
        </w:tc>
        <w:tc>
          <w:tcPr>
            <w:tcW w:w="960" w:type="dxa"/>
            <w:tcBorders>
              <w:top w:val="single" w:sz="4" w:space="0" w:color="auto"/>
              <w:left w:val="nil"/>
              <w:bottom w:val="single" w:sz="4" w:space="0" w:color="auto"/>
              <w:right w:val="single" w:sz="4" w:space="0" w:color="auto"/>
            </w:tcBorders>
            <w:noWrap/>
            <w:hideMark/>
          </w:tcPr>
          <w:p w:rsidR="00795A46" w:rsidRDefault="00795A46">
            <w:pPr>
              <w:jc w:val="center"/>
              <w:rPr>
                <w:rFonts w:ascii="Times New Roman" w:hAnsi="Times New Roman"/>
                <w:color w:val="000000"/>
                <w:lang w:eastAsia="hu-HU"/>
              </w:rPr>
            </w:pPr>
            <w:r>
              <w:rPr>
                <w:rFonts w:ascii="Times New Roman" w:hAnsi="Times New Roman"/>
                <w:color w:val="000000"/>
                <w:lang w:eastAsia="hu-HU"/>
              </w:rPr>
              <w:t>n.a.</w:t>
            </w:r>
          </w:p>
        </w:tc>
        <w:tc>
          <w:tcPr>
            <w:tcW w:w="1840" w:type="dxa"/>
            <w:tcBorders>
              <w:top w:val="single" w:sz="4" w:space="0" w:color="auto"/>
              <w:left w:val="nil"/>
              <w:bottom w:val="single" w:sz="4" w:space="0" w:color="auto"/>
              <w:right w:val="single" w:sz="4" w:space="0" w:color="auto"/>
            </w:tcBorders>
            <w:noWrap/>
            <w:vAlign w:val="bottom"/>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109</w:t>
            </w:r>
          </w:p>
        </w:tc>
        <w:tc>
          <w:tcPr>
            <w:tcW w:w="1587" w:type="dxa"/>
            <w:tcBorders>
              <w:top w:val="single" w:sz="4" w:space="0" w:color="auto"/>
              <w:left w:val="nil"/>
              <w:bottom w:val="single" w:sz="4" w:space="0" w:color="auto"/>
              <w:right w:val="single" w:sz="4" w:space="0" w:color="auto"/>
            </w:tcBorders>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19</w:t>
            </w:r>
          </w:p>
        </w:tc>
      </w:tr>
      <w:tr w:rsidR="00795A46" w:rsidTr="00795A46">
        <w:trPr>
          <w:trHeight w:val="300"/>
          <w:jc w:val="center"/>
        </w:trPr>
        <w:tc>
          <w:tcPr>
            <w:tcW w:w="580" w:type="dxa"/>
            <w:tcBorders>
              <w:top w:val="single" w:sz="4" w:space="0" w:color="auto"/>
              <w:left w:val="single" w:sz="4" w:space="0" w:color="auto"/>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2020</w:t>
            </w:r>
          </w:p>
        </w:tc>
        <w:tc>
          <w:tcPr>
            <w:tcW w:w="1018"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n.a.</w:t>
            </w:r>
          </w:p>
        </w:tc>
        <w:tc>
          <w:tcPr>
            <w:tcW w:w="980" w:type="dxa"/>
            <w:tcBorders>
              <w:top w:val="single" w:sz="4" w:space="0" w:color="auto"/>
              <w:left w:val="nil"/>
              <w:bottom w:val="single" w:sz="4" w:space="0" w:color="auto"/>
              <w:right w:val="single" w:sz="4" w:space="0" w:color="auto"/>
            </w:tcBorders>
            <w:noWrap/>
            <w:hideMark/>
          </w:tcPr>
          <w:p w:rsidR="00795A46" w:rsidRDefault="00795A46">
            <w:pPr>
              <w:jc w:val="center"/>
              <w:rPr>
                <w:rFonts w:ascii="Times New Roman" w:hAnsi="Times New Roman"/>
                <w:color w:val="000000"/>
                <w:lang w:eastAsia="hu-HU"/>
              </w:rPr>
            </w:pPr>
            <w:r>
              <w:rPr>
                <w:rFonts w:ascii="Times New Roman" w:hAnsi="Times New Roman"/>
                <w:color w:val="000000"/>
                <w:lang w:eastAsia="hu-HU"/>
              </w:rPr>
              <w:t>n.a.</w:t>
            </w:r>
          </w:p>
        </w:tc>
        <w:tc>
          <w:tcPr>
            <w:tcW w:w="960"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n.a.</w:t>
            </w:r>
          </w:p>
        </w:tc>
        <w:tc>
          <w:tcPr>
            <w:tcW w:w="960" w:type="dxa"/>
            <w:tcBorders>
              <w:top w:val="single" w:sz="4" w:space="0" w:color="auto"/>
              <w:left w:val="nil"/>
              <w:bottom w:val="single" w:sz="4" w:space="0" w:color="auto"/>
              <w:right w:val="single" w:sz="4" w:space="0" w:color="auto"/>
            </w:tcBorders>
            <w:noWrap/>
            <w:hideMark/>
          </w:tcPr>
          <w:p w:rsidR="00795A46" w:rsidRDefault="00795A46">
            <w:pPr>
              <w:jc w:val="center"/>
              <w:rPr>
                <w:rFonts w:ascii="Times New Roman" w:hAnsi="Times New Roman"/>
                <w:color w:val="000000"/>
                <w:lang w:eastAsia="hu-HU"/>
              </w:rPr>
            </w:pPr>
            <w:r>
              <w:rPr>
                <w:rFonts w:ascii="Times New Roman" w:hAnsi="Times New Roman"/>
                <w:color w:val="000000"/>
                <w:lang w:eastAsia="hu-HU"/>
              </w:rPr>
              <w:t>n.a.</w:t>
            </w:r>
          </w:p>
        </w:tc>
        <w:tc>
          <w:tcPr>
            <w:tcW w:w="960"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99</w:t>
            </w:r>
          </w:p>
        </w:tc>
        <w:tc>
          <w:tcPr>
            <w:tcW w:w="960" w:type="dxa"/>
            <w:tcBorders>
              <w:top w:val="single" w:sz="4" w:space="0" w:color="auto"/>
              <w:left w:val="nil"/>
              <w:bottom w:val="single" w:sz="4" w:space="0" w:color="auto"/>
              <w:right w:val="single" w:sz="4" w:space="0" w:color="auto"/>
            </w:tcBorders>
            <w:noWrap/>
            <w:hideMark/>
          </w:tcPr>
          <w:p w:rsidR="00795A46" w:rsidRDefault="00795A46">
            <w:pPr>
              <w:jc w:val="center"/>
              <w:rPr>
                <w:rFonts w:ascii="Times New Roman" w:hAnsi="Times New Roman"/>
                <w:color w:val="000000"/>
                <w:lang w:eastAsia="hu-HU"/>
              </w:rPr>
            </w:pPr>
            <w:r>
              <w:rPr>
                <w:rFonts w:ascii="Times New Roman" w:hAnsi="Times New Roman"/>
                <w:color w:val="000000"/>
                <w:lang w:eastAsia="hu-HU"/>
              </w:rPr>
              <w:t>n.a.</w:t>
            </w:r>
          </w:p>
        </w:tc>
        <w:tc>
          <w:tcPr>
            <w:tcW w:w="1840" w:type="dxa"/>
            <w:tcBorders>
              <w:top w:val="single" w:sz="4" w:space="0" w:color="auto"/>
              <w:left w:val="nil"/>
              <w:bottom w:val="single" w:sz="4" w:space="0" w:color="auto"/>
              <w:right w:val="single" w:sz="4" w:space="0" w:color="auto"/>
            </w:tcBorders>
            <w:noWrap/>
            <w:vAlign w:val="bottom"/>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99</w:t>
            </w:r>
          </w:p>
        </w:tc>
        <w:tc>
          <w:tcPr>
            <w:tcW w:w="1587" w:type="dxa"/>
            <w:tcBorders>
              <w:top w:val="single" w:sz="4" w:space="0" w:color="auto"/>
              <w:left w:val="nil"/>
              <w:bottom w:val="single" w:sz="4" w:space="0" w:color="auto"/>
              <w:right w:val="single" w:sz="4" w:space="0" w:color="auto"/>
            </w:tcBorders>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n.a.</w:t>
            </w:r>
          </w:p>
        </w:tc>
      </w:tr>
    </w:tbl>
    <w:p w:rsidR="00795A46" w:rsidRDefault="00795A46" w:rsidP="00795A46">
      <w:pPr>
        <w:rPr>
          <w:rFonts w:ascii="Times New Roman" w:hAnsi="Times New Roman"/>
          <w:sz w:val="20"/>
          <w:szCs w:val="20"/>
        </w:rPr>
      </w:pPr>
    </w:p>
    <w:p w:rsidR="00795A46" w:rsidRDefault="00795A46" w:rsidP="00795A46">
      <w:pPr>
        <w:rPr>
          <w:rFonts w:ascii="Times New Roman" w:hAnsi="Times New Roman"/>
          <w:sz w:val="24"/>
        </w:rPr>
      </w:pPr>
      <w:r>
        <w:rPr>
          <w:rFonts w:ascii="Times New Roman" w:hAnsi="Times New Roman"/>
          <w:sz w:val="24"/>
        </w:rPr>
        <w:t>Forrás: önkormányzati adatgyűjtés</w:t>
      </w:r>
    </w:p>
    <w:p w:rsidR="00795A46" w:rsidRDefault="00795A46" w:rsidP="00795A46">
      <w:pPr>
        <w:rPr>
          <w:rFonts w:ascii="Times New Roman" w:hAnsi="Times New Roman"/>
          <w:sz w:val="20"/>
          <w:szCs w:val="20"/>
        </w:rPr>
      </w:pPr>
    </w:p>
    <w:p w:rsidR="00795A46" w:rsidRDefault="00795A46" w:rsidP="00795A46">
      <w:pPr>
        <w:rPr>
          <w:rFonts w:ascii="Times New Roman" w:hAnsi="Times New Roman"/>
          <w:sz w:val="24"/>
        </w:rPr>
      </w:pPr>
      <w:r>
        <w:rPr>
          <w:rFonts w:ascii="Times New Roman" w:hAnsi="Times New Roman"/>
          <w:sz w:val="24"/>
        </w:rPr>
        <w:t>A fenti táblázatban a Csorváson élő aktív korúak közül azokat láthatjuk, akik már megkezdték a munkában töltött éveik gyarapítását, de később mégis úgy gondolták, hogy a munkaerőpiacon elérhető kedvezőbb pozíciók megszerzése céljából a középfokú felnőttoktatásban, munkavégzés mellett, jellemzően négy tanulmányi év alatt, egy középfokú oktatási intézmény csorvási telephelyén pótolják az eddig hiányzó érettségit. Sajnos nem rendelkezünk adatokkal arra vonatkozóan, hogy más, a környező településeken elérhető középfokú oktatási intézményben folytat-e érettségit adó tanulmányokat csorvási illetőségű aktív korú személy.</w:t>
      </w:r>
    </w:p>
    <w:p w:rsidR="00795A46" w:rsidRDefault="00795A46" w:rsidP="00795A46">
      <w:pPr>
        <w:rPr>
          <w:rFonts w:ascii="Times New Roman" w:hAnsi="Times New Roman"/>
          <w:color w:val="000000"/>
          <w:sz w:val="24"/>
        </w:rPr>
      </w:pPr>
      <w:r>
        <w:rPr>
          <w:rFonts w:ascii="Times New Roman" w:hAnsi="Times New Roman"/>
          <w:sz w:val="24"/>
        </w:rPr>
        <w:t xml:space="preserve">A középfokú felnőttoktatás, mint gimnáziumi képzés Csorváson 2008. óta működik. </w:t>
      </w:r>
      <w:r>
        <w:rPr>
          <w:rFonts w:ascii="Times New Roman" w:hAnsi="Times New Roman"/>
          <w:color w:val="000000"/>
          <w:sz w:val="24"/>
        </w:rPr>
        <w:t>A Báthori István Gimnázium Csorvási Tagintézménye 4 évfolyamos gimnáziumi nevelés-oktatást folytat a településen. Tanulóinak száma 2013 óta csökkenést mutat, 2020-ban már 100 fő alatti beírt tanulólétszámmal számoltak. A csökkenés oka remélhetőleg, hogy az elmúlt 12 évben sokan megszerezték a vágyott középfokú végzettséget az aktív, dolgozó korúak közül.</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autoSpaceDE w:val="0"/>
        <w:spacing w:after="20"/>
        <w:ind w:firstLine="142"/>
        <w:rPr>
          <w:rFonts w:ascii="Times New Roman" w:hAnsi="Times New Roman"/>
          <w:b/>
          <w:bCs/>
          <w:i/>
          <w:iCs/>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c)</w:t>
      </w:r>
      <w:r>
        <w:rPr>
          <w:rFonts w:ascii="Times New Roman" w:hAnsi="Times New Roman"/>
          <w:b/>
          <w:bCs/>
          <w:sz w:val="24"/>
        </w:rPr>
        <w:t xml:space="preserve"> közfoglalkoztatás, a közfoglalkoztatásból az elsődleges munkaerőpiacra történő átlépés lehetőségei</w:t>
      </w:r>
    </w:p>
    <w:p w:rsidR="00795A46" w:rsidRDefault="00795A46" w:rsidP="00795A46">
      <w:pPr>
        <w:autoSpaceDE w:val="0"/>
        <w:spacing w:after="20"/>
        <w:ind w:firstLine="142"/>
        <w:rPr>
          <w:rFonts w:ascii="Times New Roman" w:hAnsi="Times New Roman"/>
          <w:b/>
          <w:bCs/>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426"/>
        <w:rPr>
          <w:rFonts w:ascii="Times New Roman" w:hAnsi="Times New Roman"/>
          <w:sz w:val="24"/>
        </w:rPr>
      </w:pPr>
      <w:bookmarkStart w:id="48" w:name="__RefHeading__89_1906745769"/>
      <w:bookmarkEnd w:id="48"/>
      <w:r>
        <w:rPr>
          <w:rFonts w:ascii="Times New Roman" w:hAnsi="Times New Roman"/>
          <w:sz w:val="24"/>
        </w:rPr>
        <w:t xml:space="preserve">A közfoglalkoztatásban résztvevők számának alakulását bemutató lenti táblázat adatai arra világítanak rá, hogy mekkora szerepe van a helyi munkaerő foglalkoztatásában az önkormányzat közfoglalkoztatási programjának. Összevetve az adatot az állástalanok számával, megfigyelhető, tudja-e pótolni a közfoglalkoztatás, mint foglalkoztatási forma a településen hiányzó munkalehetőségeket. Emellett a munkatevékenység jellegét, a vonatkozó megállapodásokat, a munkavégzés körülményeit – szerződésnek történő megfelelés, biztonságos munkakörülmények megléte stb. – is vizsgálni kell ahhoz, hogy megállapítható legyen, valós segítséget jelent-e a közfoglalkoztatás megszervezésének módja, alkalmas-e visszavezetni a foglalkoztatottakat a munka világába és meghatározhatóak lehessenek a szükséges intézkedések. </w:t>
      </w:r>
    </w:p>
    <w:p w:rsidR="00795A46" w:rsidRDefault="00795A46" w:rsidP="00795A46">
      <w:pPr>
        <w:pStyle w:val="NormlCalibri11"/>
        <w:pBdr>
          <w:top w:val="none" w:sz="0" w:space="0" w:color="auto"/>
          <w:left w:val="none" w:sz="0" w:space="0" w:color="auto"/>
          <w:bottom w:val="none" w:sz="0" w:space="0" w:color="auto"/>
          <w:right w:val="none" w:sz="0" w:space="0" w:color="auto"/>
        </w:pBdr>
        <w:ind w:firstLine="426"/>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426"/>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highlight w:val="green"/>
        </w:rPr>
        <w:t>3.2.5. számú táblázat - Foglalkoztatáspolitika</w:t>
      </w:r>
    </w:p>
    <w:p w:rsidR="00795A46" w:rsidRDefault="00795A46" w:rsidP="00795A46">
      <w:pPr>
        <w:rPr>
          <w:rFonts w:ascii="Times New Roman" w:hAnsi="Times New Roman"/>
          <w:sz w:val="24"/>
        </w:rPr>
      </w:pPr>
    </w:p>
    <w:tbl>
      <w:tblPr>
        <w:tblW w:w="7360" w:type="dxa"/>
        <w:tblInd w:w="2" w:type="dxa"/>
        <w:tblCellMar>
          <w:left w:w="70" w:type="dxa"/>
          <w:right w:w="70" w:type="dxa"/>
        </w:tblCellMar>
        <w:tblLook w:val="00A0" w:firstRow="1" w:lastRow="0" w:firstColumn="1" w:lastColumn="0" w:noHBand="0" w:noVBand="0"/>
      </w:tblPr>
      <w:tblGrid>
        <w:gridCol w:w="1080"/>
        <w:gridCol w:w="3320"/>
        <w:gridCol w:w="2960"/>
      </w:tblGrid>
      <w:tr w:rsidR="00795A46" w:rsidTr="00795A46">
        <w:trPr>
          <w:trHeight w:val="1725"/>
        </w:trPr>
        <w:tc>
          <w:tcPr>
            <w:tcW w:w="1080" w:type="dxa"/>
            <w:vMerge w:val="restart"/>
            <w:tcBorders>
              <w:top w:val="single" w:sz="4" w:space="0" w:color="auto"/>
              <w:left w:val="single" w:sz="4" w:space="0" w:color="auto"/>
              <w:bottom w:val="single" w:sz="4" w:space="0" w:color="000000"/>
              <w:right w:val="single" w:sz="4" w:space="0" w:color="auto"/>
            </w:tcBorders>
            <w:shd w:val="clear" w:color="auto" w:fill="E2EFDA"/>
            <w:vAlign w:val="center"/>
            <w:hideMark/>
          </w:tcPr>
          <w:p w:rsidR="00795A46" w:rsidRDefault="00795A46">
            <w:pPr>
              <w:suppressAutoHyphens w:val="0"/>
              <w:jc w:val="center"/>
              <w:rPr>
                <w:rFonts w:cs="Calibri"/>
                <w:b/>
                <w:bCs/>
                <w:szCs w:val="22"/>
                <w:lang w:eastAsia="hu-HU"/>
              </w:rPr>
            </w:pPr>
            <w:r>
              <w:rPr>
                <w:b/>
                <w:bCs/>
                <w:lang w:eastAsia="hu-HU"/>
              </w:rPr>
              <w:t>Év</w:t>
            </w:r>
          </w:p>
        </w:tc>
        <w:tc>
          <w:tcPr>
            <w:tcW w:w="332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Aktív foglalkoztatás-politikai eszközökkel támogatottak száma</w:t>
            </w:r>
            <w:r>
              <w:rPr>
                <w:b/>
                <w:bCs/>
                <w:lang w:eastAsia="hu-HU"/>
              </w:rPr>
              <w:br/>
            </w:r>
            <w:r>
              <w:rPr>
                <w:lang w:eastAsia="hu-HU"/>
              </w:rPr>
              <w:t>(TS 050)</w:t>
            </w:r>
          </w:p>
        </w:tc>
        <w:tc>
          <w:tcPr>
            <w:tcW w:w="296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Közfoglalkoztatottak száma</w:t>
            </w:r>
            <w:r>
              <w:rPr>
                <w:b/>
                <w:bCs/>
                <w:lang w:eastAsia="hu-HU"/>
              </w:rPr>
              <w:br/>
            </w:r>
            <w:r>
              <w:rPr>
                <w:lang w:eastAsia="hu-HU"/>
              </w:rPr>
              <w:t>(TS 055)</w:t>
            </w:r>
          </w:p>
        </w:tc>
      </w:tr>
      <w:tr w:rsidR="00795A46" w:rsidTr="00795A46">
        <w:trPr>
          <w:trHeight w:val="64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jc w:val="left"/>
              <w:rPr>
                <w:b/>
                <w:bCs/>
                <w:szCs w:val="22"/>
                <w:lang w:eastAsia="hu-HU"/>
              </w:rPr>
            </w:pPr>
          </w:p>
        </w:tc>
        <w:tc>
          <w:tcPr>
            <w:tcW w:w="332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c>
          <w:tcPr>
            <w:tcW w:w="2960"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 (éves átlag - fő)</w:t>
            </w:r>
          </w:p>
        </w:tc>
      </w:tr>
      <w:tr w:rsidR="00795A46" w:rsidTr="00795A46">
        <w:trPr>
          <w:trHeight w:val="420"/>
        </w:trPr>
        <w:tc>
          <w:tcPr>
            <w:tcW w:w="10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33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171</w:t>
            </w:r>
          </w:p>
        </w:tc>
        <w:tc>
          <w:tcPr>
            <w:tcW w:w="29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156</w:t>
            </w:r>
          </w:p>
        </w:tc>
      </w:tr>
      <w:tr w:rsidR="00795A46" w:rsidTr="00795A46">
        <w:trPr>
          <w:trHeight w:val="300"/>
        </w:trPr>
        <w:tc>
          <w:tcPr>
            <w:tcW w:w="10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33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191</w:t>
            </w:r>
          </w:p>
        </w:tc>
        <w:tc>
          <w:tcPr>
            <w:tcW w:w="29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152</w:t>
            </w:r>
          </w:p>
        </w:tc>
      </w:tr>
      <w:tr w:rsidR="00795A46" w:rsidTr="00795A46">
        <w:trPr>
          <w:trHeight w:val="300"/>
        </w:trPr>
        <w:tc>
          <w:tcPr>
            <w:tcW w:w="10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33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185</w:t>
            </w:r>
          </w:p>
        </w:tc>
        <w:tc>
          <w:tcPr>
            <w:tcW w:w="29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146</w:t>
            </w:r>
          </w:p>
        </w:tc>
      </w:tr>
      <w:tr w:rsidR="00795A46" w:rsidTr="00795A46">
        <w:trPr>
          <w:trHeight w:val="300"/>
        </w:trPr>
        <w:tc>
          <w:tcPr>
            <w:tcW w:w="10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33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134</w:t>
            </w:r>
          </w:p>
        </w:tc>
        <w:tc>
          <w:tcPr>
            <w:tcW w:w="29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114</w:t>
            </w:r>
          </w:p>
        </w:tc>
      </w:tr>
      <w:tr w:rsidR="00795A46" w:rsidTr="00795A46">
        <w:trPr>
          <w:trHeight w:val="300"/>
        </w:trPr>
        <w:tc>
          <w:tcPr>
            <w:tcW w:w="10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33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119</w:t>
            </w:r>
          </w:p>
        </w:tc>
        <w:tc>
          <w:tcPr>
            <w:tcW w:w="29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91</w:t>
            </w:r>
          </w:p>
        </w:tc>
      </w:tr>
      <w:tr w:rsidR="00795A46" w:rsidTr="00795A46">
        <w:trPr>
          <w:trHeight w:val="300"/>
        </w:trPr>
        <w:tc>
          <w:tcPr>
            <w:tcW w:w="10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33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29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80</w:t>
            </w:r>
          </w:p>
        </w:tc>
      </w:tr>
    </w:tbl>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Forrás: TeIR, KSH-TSTAR</w:t>
      </w:r>
    </w:p>
    <w:p w:rsidR="00795A46" w:rsidRDefault="00795A46" w:rsidP="00795A46">
      <w:pPr>
        <w:rPr>
          <w:rFonts w:ascii="Times New Roman" w:hAnsi="Times New Roman"/>
          <w:sz w:val="24"/>
        </w:rPr>
      </w:pPr>
    </w:p>
    <w:p w:rsidR="00795A46" w:rsidRDefault="00795A46" w:rsidP="00795A46">
      <w:pPr>
        <w:rPr>
          <w:rFonts w:cs="Calibri"/>
          <w:szCs w:val="22"/>
        </w:rPr>
      </w:pPr>
      <w:r>
        <w:rPr>
          <w:noProof/>
          <w:lang w:eastAsia="hu-HU"/>
        </w:rPr>
        <w:drawing>
          <wp:inline distT="0" distB="0" distL="0" distR="0" wp14:anchorId="3C055637" wp14:editId="33C95153">
            <wp:extent cx="4505325" cy="2943225"/>
            <wp:effectExtent l="0" t="0" r="9525" b="9525"/>
            <wp:docPr id="16" name="Diagram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95A46" w:rsidRDefault="00795A46" w:rsidP="00795A46"/>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Önkormányzatunk hosszabb idejű közfoglalkoztatásban foglalkoztatott különböző korú és végzettségű álláskeresőket, hosszabb-rövidebb ideig. Fontos és elengedhetetlen szem előtt tartani, hogy olyan emberek jussanak a közfoglalkoztatásba, akik ténylegesen valamely hátránnyal rendelkező célcsoportba tartoznak, különös tekintettel a foglalkoztatást helyettesítő támogatásban (FHT) részesülőkre. </w:t>
      </w:r>
      <w:r>
        <w:rPr>
          <w:rFonts w:ascii="Times New Roman" w:hAnsi="Times New Roman"/>
          <w:color w:val="000000"/>
          <w:sz w:val="24"/>
        </w:rPr>
        <w:t>Fontos megjegyeznünk, hogy a közfoglalkoztatással az álláskeresők – különösen a tartósan álláskeresők – munkaerőpiacra való visszajutását kell elősegítenünk. Sajnos évről évre csökken a közfoglalkoztatásba felvehetők keretszáma.</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d)</w:t>
      </w:r>
      <w:r>
        <w:rPr>
          <w:rFonts w:ascii="Times New Roman" w:hAnsi="Times New Roman"/>
          <w:b/>
          <w:bCs/>
          <w:sz w:val="24"/>
        </w:rPr>
        <w:t xml:space="preserve"> a foglalkoztatáshoz való hozzáférés esélyének mobilitási, információs és egyéb tényezői (pl. közlekedés, potenciális munkalehetőségek, tervezett beruházások, lehetséges vállalkozási területek, helyben/térségben működő foglalkoztatási programok stb.)</w:t>
      </w:r>
    </w:p>
    <w:p w:rsidR="00795A46" w:rsidRDefault="00795A46" w:rsidP="00795A46">
      <w:pPr>
        <w:pStyle w:val="Tblacm"/>
        <w:keepNext w:val="0"/>
        <w:rPr>
          <w:rFonts w:ascii="Times New Roman" w:hAnsi="Times New Roman"/>
          <w:bCs w:val="0"/>
          <w:color w:val="000000"/>
          <w:sz w:val="24"/>
          <w:szCs w:val="24"/>
        </w:rPr>
      </w:pPr>
    </w:p>
    <w:p w:rsidR="00795A46" w:rsidRDefault="00795A46" w:rsidP="00795A46">
      <w:pPr>
        <w:pStyle w:val="Tblacm"/>
        <w:keepNext w:val="0"/>
        <w:tabs>
          <w:tab w:val="left" w:pos="567"/>
        </w:tabs>
        <w:rPr>
          <w:rFonts w:ascii="Times New Roman" w:hAnsi="Times New Roman"/>
          <w:sz w:val="24"/>
          <w:szCs w:val="24"/>
        </w:rPr>
      </w:pPr>
      <w:r>
        <w:rPr>
          <w:rFonts w:ascii="Times New Roman" w:hAnsi="Times New Roman"/>
          <w:sz w:val="24"/>
          <w:szCs w:val="24"/>
        </w:rPr>
        <w:tab/>
        <w:t xml:space="preserve">A városban jelenleg nem tudunk olyan tervezett beruházásról, amely munkahelyet teremtene egyszerre több álláskereső számára. Helyben, tömegesen főleg a közmunka-program nyújt munkalehetőséget, vagy alkalmi, illetve idénymunkát vállalnak a munkanélküliek. A közeli nagyobb városokban több a munkalehetőség, azonban az utazásra fordított idővel is számolnia kell a dolgozónak, s ez főleg a kisgyermekes szülőknél okozhat gondot. A közlekedés ugyanakkor jó, a 47-es számú főút és a Szeged-Békéscsaba közötti vasútvonal által nyújtott lehetőségek miatt. </w:t>
      </w:r>
    </w:p>
    <w:p w:rsidR="00795A46" w:rsidRDefault="00795A46" w:rsidP="00795A46">
      <w:pPr>
        <w:rPr>
          <w:rFonts w:ascii="Times New Roman" w:hAnsi="Times New Roman"/>
          <w:sz w:val="24"/>
        </w:rPr>
      </w:pPr>
      <w:r>
        <w:rPr>
          <w:rFonts w:ascii="Times New Roman" w:hAnsi="Times New Roman"/>
          <w:sz w:val="24"/>
        </w:rPr>
        <w:t>A helyi adottságok lehetővé tennék a mezőgazdasági haszonnövények, a kertészeti kultúrákban termett zöldségek, gyümölcsök feldolgozását, valamint állattartáshoz kapcsolódó feldolgozóipart lehetne létesíteni, esetleg EU-s támogatással is (tejfeldolgozó, savanyító üzem, biobrikett termelés). A feldolgozóipar vonzaná a bedolgozó családokat, plusz jövedelemforrást jelentene számukra. Értékesítési központ is kialakulhatna, ami a megtermelt javakat akár külföldre is el tudná juttatni. Ezek a lehetőségek fellendítenék a város foglalkoztatását, és segítenének kiemelni a mélyszegénységből a lakosságot. Ezekkel a tervekkel a helyi közfoglalkoztatási munkaprogram 2011-es kigondolását és megszervezését követően azóta is rendelkezünk, és folyamatosan figyeljük a terveink megvalósításhoz vezető pályázati forrásokat.</w:t>
      </w:r>
    </w:p>
    <w:p w:rsidR="00795A46" w:rsidRDefault="00795A46" w:rsidP="00795A46">
      <w:pPr>
        <w:rPr>
          <w:rFonts w:ascii="Times New Roman" w:hAnsi="Times New Roman"/>
          <w:sz w:val="24"/>
        </w:rPr>
      </w:pPr>
      <w:r>
        <w:rPr>
          <w:rFonts w:ascii="Times New Roman" w:hAnsi="Times New Roman"/>
          <w:sz w:val="24"/>
        </w:rPr>
        <w:t xml:space="preserve">Sajnos jelenleg a felvevőpiac hiányában településünkön kevesen vállalkoznak. A mélyszegénységben élők általában munkanélküliek, akik a Foglalkoztatási Osztály segítségével a piaci feltételek megléte mellett különböző vállalkozásokat indíthatnának be, de éppen ők azok, akik a legkevésbé rendelkeznek a szükséges induló tőkével, a vállalkozási alapismeretekkel és a piac ismeretével. </w:t>
      </w:r>
    </w:p>
    <w:p w:rsidR="00795A46" w:rsidRDefault="00795A46" w:rsidP="00795A46">
      <w:pPr>
        <w:rPr>
          <w:rFonts w:ascii="Times New Roman" w:hAnsi="Times New Roman"/>
          <w:sz w:val="24"/>
        </w:rPr>
      </w:pPr>
    </w:p>
    <w:p w:rsidR="00795A46" w:rsidRDefault="00795A46" w:rsidP="00795A46">
      <w:pPr>
        <w:pStyle w:val="Tblacm"/>
        <w:rPr>
          <w:rFonts w:ascii="Times New Roman" w:hAnsi="Times New Roman"/>
          <w:sz w:val="24"/>
          <w:szCs w:val="24"/>
        </w:rPr>
      </w:pPr>
      <w:bookmarkStart w:id="49" w:name="__RefHeading__95_1906745769"/>
      <w:bookmarkEnd w:id="49"/>
      <w:r>
        <w:rPr>
          <w:rFonts w:ascii="Times New Roman" w:hAnsi="Times New Roman"/>
          <w:sz w:val="24"/>
          <w:szCs w:val="24"/>
        </w:rPr>
        <w:t>A foglalkoztatáshoz való hozzáférés esélyének helyi potenciálja – a közlekedés</w:t>
      </w:r>
    </w:p>
    <w:p w:rsidR="00795A46" w:rsidRDefault="00795A46" w:rsidP="00795A46">
      <w:pPr>
        <w:pStyle w:val="Tblacm"/>
        <w:rPr>
          <w:rFonts w:ascii="Times New Roman" w:hAnsi="Times New Roman"/>
          <w:sz w:val="24"/>
          <w:szCs w:val="24"/>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4"/>
        </w:rPr>
      </w:pPr>
      <w:r>
        <w:rPr>
          <w:rFonts w:ascii="Times New Roman" w:hAnsi="Times New Roman"/>
          <w:sz w:val="24"/>
        </w:rPr>
        <w:t>A település munkaerő-piaci helyzetén javíthatnak a megfelelő közlekedési lehetőségek. A helyi munkalehetőségek mellett ugyanis a közeli foglalkoztatási centrumok elérhetősége is fontos szerepet kap.  A település aktív korú lakosságának munkaerő-piaci sikeressége azon is múlhat, hogy akadályozza-e a közeli, vagy távolabbi foglalkoztatási centrumok munkahelyeinek elérését az idő, a különböző közlekedési lehetőségek járatsűrűsége vagy hiánya. Csorváson e téren akadályozó tényezők nem merülnek fel, ugyanis a 47-es számú főút és a Békéscsaba-Szeged vasútvonal nyújtotta lehetőségek jó kihasználtságát mutatja a vonatok és autóbuszok száma.</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0"/>
          <w:szCs w:val="20"/>
        </w:rPr>
      </w:pPr>
    </w:p>
    <w:tbl>
      <w:tblPr>
        <w:tblW w:w="9060" w:type="dxa"/>
        <w:tblInd w:w="2" w:type="dxa"/>
        <w:tblLayout w:type="fixed"/>
        <w:tblLook w:val="00A0" w:firstRow="1" w:lastRow="0" w:firstColumn="1" w:lastColumn="0" w:noHBand="0" w:noVBand="0"/>
      </w:tblPr>
      <w:tblGrid>
        <w:gridCol w:w="1008"/>
        <w:gridCol w:w="970"/>
        <w:gridCol w:w="1134"/>
        <w:gridCol w:w="1133"/>
        <w:gridCol w:w="1275"/>
        <w:gridCol w:w="1133"/>
        <w:gridCol w:w="1274"/>
        <w:gridCol w:w="1133"/>
      </w:tblGrid>
      <w:tr w:rsidR="00795A46" w:rsidTr="00795A46">
        <w:tc>
          <w:tcPr>
            <w:tcW w:w="1008" w:type="dxa"/>
            <w:tcBorders>
              <w:top w:val="single" w:sz="4" w:space="0" w:color="000000"/>
              <w:left w:val="single" w:sz="4" w:space="0" w:color="000000"/>
              <w:bottom w:val="single" w:sz="4" w:space="0" w:color="000000"/>
              <w:right w:val="nil"/>
            </w:tcBorders>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szCs w:val="22"/>
              </w:rPr>
            </w:pPr>
          </w:p>
        </w:tc>
        <w:tc>
          <w:tcPr>
            <w:tcW w:w="970"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elérhetőség átlagos ideje autóval</w:t>
            </w:r>
          </w:p>
        </w:tc>
        <w:tc>
          <w:tcPr>
            <w:tcW w:w="1134"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autóbusz járatpárok száma munka-napokon</w:t>
            </w:r>
          </w:p>
        </w:tc>
        <w:tc>
          <w:tcPr>
            <w:tcW w:w="1134"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átlagos utazási idő autóbusszal</w:t>
            </w:r>
          </w:p>
        </w:tc>
        <w:tc>
          <w:tcPr>
            <w:tcW w:w="1276"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vonat járatok átlagos száma munkanapokon</w:t>
            </w:r>
          </w:p>
        </w:tc>
        <w:tc>
          <w:tcPr>
            <w:tcW w:w="1134"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átlagos utazási idő vonattal</w:t>
            </w:r>
          </w:p>
        </w:tc>
        <w:tc>
          <w:tcPr>
            <w:tcW w:w="1275"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Kerékpár úton való megközelíthetőség</w:t>
            </w:r>
          </w:p>
        </w:tc>
        <w:tc>
          <w:tcPr>
            <w:tcW w:w="1134"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átlagos utazási idő kerékpáron</w:t>
            </w:r>
          </w:p>
        </w:tc>
      </w:tr>
      <w:tr w:rsidR="00795A46" w:rsidTr="00795A46">
        <w:tc>
          <w:tcPr>
            <w:tcW w:w="100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Legközelebbi centrum</w:t>
            </w:r>
          </w:p>
        </w:tc>
        <w:tc>
          <w:tcPr>
            <w:tcW w:w="970"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15 perc</w:t>
            </w:r>
          </w:p>
        </w:tc>
        <w:tc>
          <w:tcPr>
            <w:tcW w:w="1134"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26</w:t>
            </w:r>
          </w:p>
        </w:tc>
        <w:tc>
          <w:tcPr>
            <w:tcW w:w="1134"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20 perc</w:t>
            </w:r>
          </w:p>
        </w:tc>
        <w:tc>
          <w:tcPr>
            <w:tcW w:w="1276"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14</w:t>
            </w:r>
          </w:p>
        </w:tc>
        <w:tc>
          <w:tcPr>
            <w:tcW w:w="1134"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16 perc</w:t>
            </w:r>
          </w:p>
        </w:tc>
        <w:tc>
          <w:tcPr>
            <w:tcW w:w="1275"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47-es számú főút mentén kerékpárút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60 perc</w:t>
            </w:r>
          </w:p>
        </w:tc>
      </w:tr>
      <w:tr w:rsidR="00795A46" w:rsidTr="00795A46">
        <w:tc>
          <w:tcPr>
            <w:tcW w:w="1008"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Megye-székhely</w:t>
            </w:r>
          </w:p>
        </w:tc>
        <w:tc>
          <w:tcPr>
            <w:tcW w:w="970"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20 perc</w:t>
            </w:r>
          </w:p>
        </w:tc>
        <w:tc>
          <w:tcPr>
            <w:tcW w:w="1134"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25</w:t>
            </w:r>
          </w:p>
        </w:tc>
        <w:tc>
          <w:tcPr>
            <w:tcW w:w="1134"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25 perc</w:t>
            </w:r>
          </w:p>
        </w:tc>
        <w:tc>
          <w:tcPr>
            <w:tcW w:w="1276"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14</w:t>
            </w:r>
          </w:p>
        </w:tc>
        <w:tc>
          <w:tcPr>
            <w:tcW w:w="1134"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24 perc</w:t>
            </w:r>
          </w:p>
        </w:tc>
        <w:tc>
          <w:tcPr>
            <w:tcW w:w="1275"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47-es számú főút mentén kerékpárút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1óra 30 perc</w:t>
            </w:r>
          </w:p>
        </w:tc>
      </w:tr>
      <w:tr w:rsidR="00795A46" w:rsidTr="00795A46">
        <w:tc>
          <w:tcPr>
            <w:tcW w:w="100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Főváros</w:t>
            </w:r>
          </w:p>
        </w:tc>
        <w:tc>
          <w:tcPr>
            <w:tcW w:w="970"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3 óra</w:t>
            </w:r>
          </w:p>
        </w:tc>
        <w:tc>
          <w:tcPr>
            <w:tcW w:w="1134"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11</w:t>
            </w:r>
          </w:p>
        </w:tc>
        <w:tc>
          <w:tcPr>
            <w:tcW w:w="1134"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4 óra</w:t>
            </w:r>
          </w:p>
        </w:tc>
        <w:tc>
          <w:tcPr>
            <w:tcW w:w="1276"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12</w:t>
            </w:r>
          </w:p>
        </w:tc>
        <w:tc>
          <w:tcPr>
            <w:tcW w:w="1134"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5 óra</w:t>
            </w:r>
          </w:p>
        </w:tc>
        <w:tc>
          <w:tcPr>
            <w:tcW w:w="1275"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0"/>
          <w:szCs w:val="20"/>
        </w:rPr>
      </w:pP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r>
        <w:rPr>
          <w:rFonts w:ascii="Times New Roman" w:hAnsi="Times New Roman"/>
          <w:sz w:val="24"/>
        </w:rPr>
        <w:t>Forrás: helyközi autóbusz társaság, MÁV, önkormányzat adatai</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Az üres álláshelyekről ma már elég sok helyen lehet információhoz jutni, többek között:</w:t>
      </w:r>
    </w:p>
    <w:p w:rsidR="00795A46" w:rsidRDefault="00795A46" w:rsidP="00795A46">
      <w:pPr>
        <w:rPr>
          <w:rFonts w:ascii="Times New Roman" w:hAnsi="Times New Roman"/>
          <w:sz w:val="24"/>
        </w:rPr>
      </w:pPr>
      <w:r>
        <w:rPr>
          <w:rFonts w:ascii="Times New Roman" w:hAnsi="Times New Roman"/>
          <w:sz w:val="24"/>
        </w:rPr>
        <w:t>- Békés Megyei Kormányhivatal Békéscsabai Járási Hivatal Foglalkoztatási Osztálya</w:t>
      </w:r>
    </w:p>
    <w:p w:rsidR="00795A46" w:rsidRDefault="00795A46" w:rsidP="00795A46">
      <w:pPr>
        <w:rPr>
          <w:rFonts w:ascii="Times New Roman" w:hAnsi="Times New Roman"/>
          <w:sz w:val="24"/>
        </w:rPr>
      </w:pPr>
      <w:r>
        <w:rPr>
          <w:rFonts w:ascii="Times New Roman" w:hAnsi="Times New Roman"/>
          <w:sz w:val="24"/>
        </w:rPr>
        <w:t>- internet pl.: Virtuális Munkaerőpiac Portál (VMP), https://vmp.munka.hu/</w:t>
      </w:r>
    </w:p>
    <w:p w:rsidR="00795A46" w:rsidRDefault="00795A46" w:rsidP="00795A46">
      <w:pPr>
        <w:rPr>
          <w:rFonts w:ascii="Times New Roman" w:hAnsi="Times New Roman"/>
          <w:sz w:val="24"/>
        </w:rPr>
      </w:pPr>
      <w:r>
        <w:rPr>
          <w:rFonts w:ascii="Times New Roman" w:hAnsi="Times New Roman"/>
          <w:sz w:val="24"/>
        </w:rPr>
        <w:t>- helyi és térségi újságokból, reklámkiadványokból és munkaerő-közvetítő cégek szórólapjain</w:t>
      </w:r>
    </w:p>
    <w:p w:rsidR="00795A46" w:rsidRDefault="00795A46" w:rsidP="00795A46">
      <w:pPr>
        <w:rPr>
          <w:rFonts w:ascii="Times New Roman" w:hAnsi="Times New Roman"/>
          <w:sz w:val="24"/>
        </w:rPr>
      </w:pPr>
      <w:r>
        <w:rPr>
          <w:rFonts w:ascii="Times New Roman" w:hAnsi="Times New Roman"/>
          <w:sz w:val="24"/>
        </w:rPr>
        <w:t>- helyben, egymás közt</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Azok számára, akiknek nincs lehetőségük otthonukban internet hozzáféréshez, a Családsegítő Szolgálat illetve a könyvtár biztosítja ezt, akik egyébként önéletrajzírás, motivációs levél készítésében is segítséget nyújt a Családsegítő és Gyermekjóléti Szolgálat.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autoSpaceDE w:val="0"/>
        <w:spacing w:after="20"/>
        <w:rPr>
          <w:rFonts w:ascii="Times New Roman" w:hAnsi="Times New Roman"/>
          <w:i/>
          <w:iCs/>
          <w:color w:val="000000"/>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e)</w:t>
      </w:r>
      <w:r>
        <w:rPr>
          <w:rFonts w:ascii="Times New Roman" w:hAnsi="Times New Roman"/>
          <w:b/>
          <w:bCs/>
          <w:sz w:val="24"/>
        </w:rPr>
        <w:t xml:space="preserve"> fiatalok foglalkoztatását és az oktatásból a munkaerőpiacra való átmenetet megkönnyítő programok a településen; képzéshez, továbbképzéshez való hozzáférésük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426"/>
        <w:rPr>
          <w:rFonts w:ascii="Times New Roman" w:hAnsi="Times New Roman"/>
          <w:sz w:val="24"/>
        </w:rPr>
      </w:pPr>
      <w:bookmarkStart w:id="50" w:name="__RefHeading__97_1906745769"/>
      <w:bookmarkEnd w:id="50"/>
      <w:r>
        <w:rPr>
          <w:rFonts w:ascii="Times New Roman" w:hAnsi="Times New Roman"/>
          <w:sz w:val="24"/>
        </w:rPr>
        <w:t>A fiatalok foglakoztatáshoz való hozzáférésének esélyei tekintetében Csorváson nincsenek a foglalkoztatást és az oktatásból a munkaerőpiacra való átmenetet megkönnyítő programok. Ezek a programok a közeli városokban, Békéscsabán és Orosházán, a Járási Foglalkoztatási Osztályok szervezésében vehetők igénybe.</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rPr>
        <w:t xml:space="preserve">Az alábbi táblázat azt mutatja, hogy a nyilvántartott álláskeresők száma mellett a nyilvántartott pályakezdő álláskeresők száma is emelkedik Csorváson. Bár az elmúlt hat év során folyamatos csökkenés vagy csak kismértékű létszámemelkedés volt kimutatható, a 2020-as évtől kiugróan nőtt a nyilvántartott álláskeresők mellett a regisztrált pályakezdő álláskeresők száma is. A sajnálatos létszámnövekedés okai között lehettek a munkaadói bizonytalanság és a covid miatt megszűnt munkahelyek is.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highlight w:val="green"/>
        </w:rPr>
        <w:t>3.2.6. számú táblázat - Pályakezdő álláskeresők száma</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tbl>
      <w:tblPr>
        <w:tblW w:w="6500" w:type="dxa"/>
        <w:tblInd w:w="2" w:type="dxa"/>
        <w:tblCellMar>
          <w:left w:w="70" w:type="dxa"/>
          <w:right w:w="70" w:type="dxa"/>
        </w:tblCellMar>
        <w:tblLook w:val="00A0" w:firstRow="1" w:lastRow="0" w:firstColumn="1" w:lastColumn="0" w:noHBand="0" w:noVBand="0"/>
      </w:tblPr>
      <w:tblGrid>
        <w:gridCol w:w="1760"/>
        <w:gridCol w:w="2340"/>
        <w:gridCol w:w="2400"/>
      </w:tblGrid>
      <w:tr w:rsidR="00795A46" w:rsidTr="00795A46">
        <w:trPr>
          <w:trHeight w:val="1725"/>
        </w:trPr>
        <w:tc>
          <w:tcPr>
            <w:tcW w:w="1760" w:type="dxa"/>
            <w:vMerge w:val="restart"/>
            <w:tcBorders>
              <w:top w:val="single" w:sz="4" w:space="0" w:color="auto"/>
              <w:left w:val="single" w:sz="4" w:space="0" w:color="auto"/>
              <w:bottom w:val="single" w:sz="4" w:space="0" w:color="000000"/>
              <w:right w:val="single" w:sz="4" w:space="0" w:color="auto"/>
            </w:tcBorders>
            <w:shd w:val="clear" w:color="auto" w:fill="E2EFDA"/>
            <w:noWrap/>
            <w:vAlign w:val="center"/>
            <w:hideMark/>
          </w:tcPr>
          <w:p w:rsidR="00795A46" w:rsidRDefault="00795A46">
            <w:pPr>
              <w:suppressAutoHyphens w:val="0"/>
              <w:jc w:val="center"/>
              <w:rPr>
                <w:rFonts w:cs="Calibri"/>
                <w:b/>
                <w:bCs/>
                <w:lang w:eastAsia="hu-HU"/>
              </w:rPr>
            </w:pPr>
            <w:r>
              <w:rPr>
                <w:b/>
                <w:bCs/>
                <w:lang w:eastAsia="hu-HU"/>
              </w:rPr>
              <w:t>Év </w:t>
            </w:r>
          </w:p>
        </w:tc>
        <w:tc>
          <w:tcPr>
            <w:tcW w:w="2340" w:type="dxa"/>
            <w:tcBorders>
              <w:top w:val="nil"/>
              <w:left w:val="nil"/>
              <w:bottom w:val="nil"/>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Nyilvántartott álláskeresők száma</w:t>
            </w:r>
            <w:r>
              <w:rPr>
                <w:b/>
                <w:bCs/>
                <w:lang w:eastAsia="hu-HU"/>
              </w:rPr>
              <w:br/>
            </w:r>
            <w:r>
              <w:rPr>
                <w:lang w:eastAsia="hu-HU"/>
              </w:rPr>
              <w:t>(TS 052)</w:t>
            </w:r>
          </w:p>
        </w:tc>
        <w:tc>
          <w:tcPr>
            <w:tcW w:w="2400"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Nyilvántartott pályakezdő álláskeresők száma</w:t>
            </w:r>
            <w:r>
              <w:rPr>
                <w:b/>
                <w:bCs/>
                <w:lang w:eastAsia="hu-HU"/>
              </w:rPr>
              <w:br/>
            </w:r>
            <w:r>
              <w:rPr>
                <w:lang w:eastAsia="hu-HU"/>
              </w:rPr>
              <w:t>(TS 053)</w:t>
            </w:r>
          </w:p>
        </w:tc>
      </w:tr>
      <w:tr w:rsidR="00795A46" w:rsidTr="00795A46">
        <w:trPr>
          <w:trHeight w:val="64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jc w:val="left"/>
              <w:rPr>
                <w:b/>
                <w:bCs/>
                <w:szCs w:val="22"/>
                <w:lang w:eastAsia="hu-HU"/>
              </w:rPr>
            </w:pPr>
          </w:p>
        </w:tc>
        <w:tc>
          <w:tcPr>
            <w:tcW w:w="2340" w:type="dxa"/>
            <w:tcBorders>
              <w:top w:val="single" w:sz="4" w:space="0" w:color="auto"/>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c>
          <w:tcPr>
            <w:tcW w:w="240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r>
      <w:tr w:rsidR="00795A46" w:rsidTr="00795A46">
        <w:trPr>
          <w:trHeight w:val="420"/>
        </w:trPr>
        <w:tc>
          <w:tcPr>
            <w:tcW w:w="17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23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152</w:t>
            </w:r>
          </w:p>
        </w:tc>
        <w:tc>
          <w:tcPr>
            <w:tcW w:w="24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w:t>
            </w:r>
          </w:p>
        </w:tc>
      </w:tr>
      <w:tr w:rsidR="00795A46" w:rsidTr="00795A46">
        <w:trPr>
          <w:trHeight w:val="300"/>
        </w:trPr>
        <w:tc>
          <w:tcPr>
            <w:tcW w:w="17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23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139</w:t>
            </w:r>
          </w:p>
        </w:tc>
        <w:tc>
          <w:tcPr>
            <w:tcW w:w="24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14</w:t>
            </w:r>
          </w:p>
        </w:tc>
      </w:tr>
      <w:tr w:rsidR="00795A46" w:rsidTr="00795A46">
        <w:trPr>
          <w:trHeight w:val="300"/>
        </w:trPr>
        <w:tc>
          <w:tcPr>
            <w:tcW w:w="17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23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102</w:t>
            </w:r>
          </w:p>
        </w:tc>
        <w:tc>
          <w:tcPr>
            <w:tcW w:w="24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14</w:t>
            </w:r>
          </w:p>
        </w:tc>
      </w:tr>
      <w:tr w:rsidR="00795A46" w:rsidTr="00795A46">
        <w:trPr>
          <w:trHeight w:val="300"/>
        </w:trPr>
        <w:tc>
          <w:tcPr>
            <w:tcW w:w="17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23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110</w:t>
            </w:r>
          </w:p>
        </w:tc>
        <w:tc>
          <w:tcPr>
            <w:tcW w:w="24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13</w:t>
            </w:r>
          </w:p>
        </w:tc>
      </w:tr>
      <w:tr w:rsidR="00795A46" w:rsidTr="00795A46">
        <w:trPr>
          <w:trHeight w:val="300"/>
        </w:trPr>
        <w:tc>
          <w:tcPr>
            <w:tcW w:w="17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23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127</w:t>
            </w:r>
          </w:p>
        </w:tc>
        <w:tc>
          <w:tcPr>
            <w:tcW w:w="24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w:t>
            </w:r>
          </w:p>
        </w:tc>
      </w:tr>
      <w:tr w:rsidR="00795A46" w:rsidTr="00795A46">
        <w:trPr>
          <w:trHeight w:val="300"/>
        </w:trPr>
        <w:tc>
          <w:tcPr>
            <w:tcW w:w="17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23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24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Forrás: TeIR, Nemzeti Foglakoztatási Szolgálat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noProof/>
          <w:lang w:eastAsia="hu-HU"/>
        </w:rPr>
        <w:drawing>
          <wp:inline distT="0" distB="0" distL="0" distR="0" wp14:anchorId="4D41B2B8" wp14:editId="6C722751">
            <wp:extent cx="4495800" cy="2943225"/>
            <wp:effectExtent l="0" t="0" r="0" b="9525"/>
            <wp:docPr id="15" name="Diagram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rPr>
        <w:t>A táblázat bemutatja, hogy az elmúlt öt évben a nyilvántartott álláskeresők száma közel azonos maradt, a mutatószám a 2015-ös bázisévhez képest 83 %-ára csökkent. Ennek oka lehet az, hogy az elveszített munkahely után gyorsabban találnak újat, és azt is, hogy nem regisztrálnak az állásvesztés után, hanem valamilyen más módokon keresnek maguknak állást. A nyilvántartott pályakezdő álláskeresők számának csökkenését tekintve megállapítható, hogy a mutató a bázisév 55%-ára esett vissza, ez azt jelenti, hogy a pályakezdők közül többen és hamarabb találják meg első állásukat az iskolás évek után, mint öt évvel korábban.</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f)</w:t>
      </w:r>
      <w:r>
        <w:rPr>
          <w:rFonts w:ascii="Times New Roman" w:hAnsi="Times New Roman"/>
          <w:b/>
          <w:bCs/>
          <w:sz w:val="24"/>
        </w:rPr>
        <w:t xml:space="preserve"> munkaerő-piaci integrációt segítő szervezetek és szolgáltatások feltérképezése (pl. felnőttképzéshez és egyéb munkaerő-piaci szolgáltatásokhoz való hozzáférés, helyi foglalkoztatási programok)</w:t>
      </w:r>
    </w:p>
    <w:p w:rsidR="00795A46" w:rsidRDefault="00795A46" w:rsidP="00795A46">
      <w:pPr>
        <w:pStyle w:val="Tblacm"/>
        <w:rPr>
          <w:rFonts w:ascii="Times New Roman" w:hAnsi="Times New Roman"/>
          <w:bCs w:val="0"/>
          <w:sz w:val="24"/>
          <w:szCs w:val="24"/>
        </w:rPr>
      </w:pPr>
    </w:p>
    <w:p w:rsidR="00795A46" w:rsidRDefault="00795A46" w:rsidP="00795A46">
      <w:pPr>
        <w:pStyle w:val="Tblacm"/>
        <w:tabs>
          <w:tab w:val="left" w:pos="567"/>
        </w:tabs>
        <w:rPr>
          <w:rFonts w:ascii="Times New Roman" w:hAnsi="Times New Roman"/>
          <w:color w:val="000000"/>
          <w:sz w:val="24"/>
          <w:szCs w:val="24"/>
        </w:rPr>
      </w:pPr>
      <w:r>
        <w:rPr>
          <w:rFonts w:ascii="Times New Roman" w:hAnsi="Times New Roman"/>
          <w:color w:val="000000"/>
          <w:sz w:val="24"/>
          <w:szCs w:val="24"/>
        </w:rPr>
        <w:tab/>
        <w:t>Csorváson az aktív korúak munkaerő-piaci integrációját az alábbi táblázatban bemutatott módszerekkel és eszközökkel is igyekszünk elősegíteni:</w:t>
      </w:r>
    </w:p>
    <w:p w:rsidR="00795A46" w:rsidRDefault="00795A46" w:rsidP="00795A46">
      <w:pPr>
        <w:pStyle w:val="Tblacm"/>
        <w:rPr>
          <w:rFonts w:ascii="Times New Roman" w:hAnsi="Times New Roman"/>
          <w:sz w:val="24"/>
          <w:szCs w:val="24"/>
        </w:rPr>
      </w:pPr>
      <w:bookmarkStart w:id="51" w:name="__RefHeading__101_1906745769"/>
      <w:bookmarkEnd w:id="51"/>
    </w:p>
    <w:tbl>
      <w:tblPr>
        <w:tblW w:w="9060" w:type="dxa"/>
        <w:tblInd w:w="2" w:type="dxa"/>
        <w:tblLayout w:type="fixed"/>
        <w:tblLook w:val="00A0" w:firstRow="1" w:lastRow="0" w:firstColumn="1" w:lastColumn="0" w:noHBand="0" w:noVBand="0"/>
      </w:tblPr>
      <w:tblGrid>
        <w:gridCol w:w="3404"/>
        <w:gridCol w:w="851"/>
        <w:gridCol w:w="4805"/>
      </w:tblGrid>
      <w:tr w:rsidR="00795A46" w:rsidTr="00795A46">
        <w:tc>
          <w:tcPr>
            <w:tcW w:w="3406"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sz w:val="24"/>
              </w:rPr>
            </w:pPr>
            <w:r>
              <w:rPr>
                <w:rFonts w:ascii="Times New Roman" w:hAnsi="Times New Roman"/>
                <w:sz w:val="24"/>
              </w:rPr>
              <w:t>Módszerek és eszközök:</w:t>
            </w:r>
          </w:p>
        </w:tc>
        <w:tc>
          <w:tcPr>
            <w:tcW w:w="851"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i/>
                <w:iCs/>
                <w:sz w:val="24"/>
              </w:rPr>
            </w:pPr>
            <w:r>
              <w:rPr>
                <w:rFonts w:ascii="Times New Roman" w:hAnsi="Times New Roman"/>
                <w:i/>
                <w:iCs/>
                <w:sz w:val="24"/>
              </w:rPr>
              <w:t>Van</w:t>
            </w:r>
          </w:p>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i/>
                <w:iCs/>
                <w:sz w:val="24"/>
              </w:rPr>
            </w:pPr>
            <w:r>
              <w:rPr>
                <w:rFonts w:ascii="Times New Roman" w:hAnsi="Times New Roman"/>
                <w:i/>
                <w:iCs/>
                <w:sz w:val="24"/>
              </w:rPr>
              <w:t>/nincs</w:t>
            </w:r>
          </w:p>
        </w:tc>
        <w:tc>
          <w:tcPr>
            <w:tcW w:w="4808"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i/>
                <w:iCs/>
                <w:sz w:val="24"/>
              </w:rPr>
            </w:pPr>
            <w:r>
              <w:rPr>
                <w:rFonts w:ascii="Times New Roman" w:hAnsi="Times New Roman"/>
                <w:i/>
                <w:iCs/>
                <w:sz w:val="24"/>
              </w:rPr>
              <w:t>Felsorolás</w:t>
            </w:r>
          </w:p>
        </w:tc>
      </w:tr>
      <w:tr w:rsidR="00795A46" w:rsidTr="00795A46">
        <w:tc>
          <w:tcPr>
            <w:tcW w:w="3406"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sz w:val="24"/>
              </w:rPr>
            </w:pPr>
            <w:r>
              <w:rPr>
                <w:rFonts w:ascii="Times New Roman" w:hAnsi="Times New Roman"/>
                <w:sz w:val="24"/>
              </w:rPr>
              <w:t>felnőttképző programok a településen</w:t>
            </w:r>
          </w:p>
        </w:tc>
        <w:tc>
          <w:tcPr>
            <w:tcW w:w="851"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i/>
                <w:iCs/>
                <w:sz w:val="24"/>
              </w:rPr>
            </w:pPr>
            <w:r>
              <w:rPr>
                <w:rFonts w:ascii="Times New Roman" w:hAnsi="Times New Roman"/>
                <w:i/>
                <w:iCs/>
                <w:sz w:val="24"/>
              </w:rPr>
              <w:t>van</w:t>
            </w:r>
          </w:p>
        </w:tc>
        <w:tc>
          <w:tcPr>
            <w:tcW w:w="4808"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i/>
                <w:iCs/>
                <w:sz w:val="24"/>
              </w:rPr>
            </w:pPr>
            <w:r>
              <w:rPr>
                <w:rFonts w:ascii="Times New Roman" w:hAnsi="Times New Roman"/>
                <w:i/>
                <w:iCs/>
                <w:sz w:val="24"/>
              </w:rPr>
              <w:t>Báthori István Szakképző Iskola Nyírlugos, Csorvási Tagintézménye (középfokú, esti tagozatos, érettségit adó képzés)</w:t>
            </w:r>
          </w:p>
        </w:tc>
      </w:tr>
      <w:tr w:rsidR="00795A46" w:rsidTr="00795A46">
        <w:tc>
          <w:tcPr>
            <w:tcW w:w="3406"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sz w:val="24"/>
              </w:rPr>
            </w:pPr>
            <w:r>
              <w:rPr>
                <w:rFonts w:ascii="Times New Roman" w:hAnsi="Times New Roman"/>
                <w:sz w:val="24"/>
              </w:rPr>
              <w:t>felnőttképző programok a vonzásközpontban</w:t>
            </w:r>
          </w:p>
        </w:tc>
        <w:tc>
          <w:tcPr>
            <w:tcW w:w="851"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i/>
                <w:iCs/>
                <w:sz w:val="24"/>
              </w:rPr>
            </w:pPr>
            <w:r>
              <w:rPr>
                <w:rFonts w:ascii="Times New Roman" w:hAnsi="Times New Roman"/>
                <w:i/>
                <w:iCs/>
                <w:sz w:val="24"/>
              </w:rPr>
              <w:t>van</w:t>
            </w:r>
          </w:p>
        </w:tc>
        <w:tc>
          <w:tcPr>
            <w:tcW w:w="4808" w:type="dxa"/>
            <w:tcBorders>
              <w:top w:val="single" w:sz="4" w:space="0" w:color="000000"/>
              <w:left w:val="single" w:sz="4" w:space="0" w:color="000000"/>
              <w:bottom w:val="single" w:sz="4" w:space="0" w:color="000000"/>
              <w:right w:val="single" w:sz="4" w:space="0" w:color="000000"/>
            </w:tcBorders>
            <w:hideMark/>
          </w:tcPr>
          <w:p w:rsidR="00795A46" w:rsidRDefault="00795A46">
            <w:pPr>
              <w:snapToGrid w:val="0"/>
              <w:rPr>
                <w:rFonts w:ascii="Times New Roman" w:hAnsi="Times New Roman"/>
                <w:i/>
                <w:iCs/>
                <w:sz w:val="24"/>
              </w:rPr>
            </w:pPr>
            <w:r>
              <w:rPr>
                <w:rFonts w:ascii="Times New Roman" w:hAnsi="Times New Roman"/>
                <w:i/>
                <w:iCs/>
                <w:sz w:val="24"/>
              </w:rPr>
              <w:t>önerős felnőttképzések a különböző közép-és felsőoktatási intézmények szervezésében</w:t>
            </w:r>
          </w:p>
        </w:tc>
      </w:tr>
      <w:tr w:rsidR="00795A46" w:rsidTr="00795A46">
        <w:tc>
          <w:tcPr>
            <w:tcW w:w="3406"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sz w:val="24"/>
              </w:rPr>
            </w:pPr>
            <w:r>
              <w:rPr>
                <w:rFonts w:ascii="Times New Roman" w:hAnsi="Times New Roman"/>
                <w:sz w:val="24"/>
              </w:rPr>
              <w:t>egyéb munkaerő-piaci szolgáltatások a vonzásközpontban</w:t>
            </w:r>
          </w:p>
        </w:tc>
        <w:tc>
          <w:tcPr>
            <w:tcW w:w="851"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i/>
                <w:iCs/>
                <w:sz w:val="24"/>
              </w:rPr>
            </w:pPr>
            <w:r>
              <w:rPr>
                <w:rFonts w:ascii="Times New Roman" w:hAnsi="Times New Roman"/>
                <w:i/>
                <w:iCs/>
                <w:sz w:val="24"/>
              </w:rPr>
              <w:t>van</w:t>
            </w:r>
          </w:p>
        </w:tc>
        <w:tc>
          <w:tcPr>
            <w:tcW w:w="4808"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i/>
                <w:iCs/>
                <w:sz w:val="24"/>
              </w:rPr>
            </w:pPr>
            <w:r>
              <w:rPr>
                <w:rFonts w:ascii="Times New Roman" w:hAnsi="Times New Roman"/>
                <w:i/>
                <w:iCs/>
                <w:sz w:val="24"/>
              </w:rPr>
              <w:t>állásbörzék, tájékoztatók</w:t>
            </w:r>
          </w:p>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i/>
                <w:iCs/>
                <w:sz w:val="24"/>
              </w:rPr>
            </w:pPr>
            <w:r>
              <w:rPr>
                <w:rFonts w:ascii="Times New Roman" w:hAnsi="Times New Roman"/>
                <w:i/>
                <w:iCs/>
                <w:sz w:val="24"/>
              </w:rPr>
              <w:t>Járási Hivatalok Foglalkoztatási Osztályai</w:t>
            </w:r>
          </w:p>
        </w:tc>
      </w:tr>
      <w:tr w:rsidR="00795A46" w:rsidTr="00795A46">
        <w:tc>
          <w:tcPr>
            <w:tcW w:w="3406"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sz w:val="24"/>
              </w:rPr>
            </w:pPr>
            <w:r>
              <w:rPr>
                <w:rFonts w:ascii="Times New Roman" w:hAnsi="Times New Roman"/>
                <w:sz w:val="24"/>
              </w:rPr>
              <w:t xml:space="preserve">Helyi foglalkoztatási programok </w:t>
            </w:r>
          </w:p>
        </w:tc>
        <w:tc>
          <w:tcPr>
            <w:tcW w:w="851"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i/>
                <w:iCs/>
                <w:sz w:val="24"/>
              </w:rPr>
            </w:pPr>
            <w:r>
              <w:rPr>
                <w:rFonts w:ascii="Times New Roman" w:hAnsi="Times New Roman"/>
                <w:i/>
                <w:iCs/>
                <w:sz w:val="24"/>
              </w:rPr>
              <w:t>van</w:t>
            </w:r>
          </w:p>
        </w:tc>
        <w:tc>
          <w:tcPr>
            <w:tcW w:w="4808"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i/>
                <w:iCs/>
                <w:sz w:val="24"/>
              </w:rPr>
            </w:pPr>
            <w:r>
              <w:rPr>
                <w:rFonts w:ascii="Times New Roman" w:hAnsi="Times New Roman"/>
                <w:i/>
                <w:iCs/>
                <w:sz w:val="24"/>
              </w:rPr>
              <w:t>közfoglalkoztatás</w:t>
            </w:r>
          </w:p>
        </w:tc>
      </w:tr>
      <w:tr w:rsidR="00795A46" w:rsidTr="00795A46">
        <w:tc>
          <w:tcPr>
            <w:tcW w:w="3406"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sz w:val="24"/>
              </w:rPr>
            </w:pPr>
            <w:r>
              <w:rPr>
                <w:rFonts w:ascii="Times New Roman" w:hAnsi="Times New Roman"/>
                <w:sz w:val="24"/>
              </w:rPr>
              <w:t>Helyi foglalkoztatási programok a vonzásközpontban</w:t>
            </w:r>
          </w:p>
        </w:tc>
        <w:tc>
          <w:tcPr>
            <w:tcW w:w="851"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i/>
                <w:iCs/>
                <w:sz w:val="24"/>
              </w:rPr>
            </w:pPr>
            <w:r>
              <w:rPr>
                <w:rFonts w:ascii="Times New Roman" w:hAnsi="Times New Roman"/>
                <w:i/>
                <w:iCs/>
                <w:sz w:val="24"/>
              </w:rPr>
              <w:t>van</w:t>
            </w:r>
          </w:p>
        </w:tc>
        <w:tc>
          <w:tcPr>
            <w:tcW w:w="4808"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i/>
                <w:iCs/>
                <w:sz w:val="24"/>
              </w:rPr>
            </w:pPr>
            <w:r>
              <w:rPr>
                <w:rFonts w:ascii="Times New Roman" w:hAnsi="Times New Roman"/>
                <w:i/>
                <w:iCs/>
                <w:sz w:val="24"/>
              </w:rPr>
              <w:t>megyén belüli közfoglalkoztatási programok (pl.: Vízügyi Igazgatóság, Magyar Közút Nkft.)</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Forrás: helyi adatgyűjtés</w:t>
      </w:r>
    </w:p>
    <w:p w:rsidR="00795A46" w:rsidRDefault="00795A46" w:rsidP="00795A46">
      <w:pP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4"/>
        </w:rPr>
      </w:pPr>
      <w:r>
        <w:rPr>
          <w:rFonts w:ascii="Times New Roman" w:hAnsi="Times New Roman"/>
          <w:sz w:val="24"/>
        </w:rPr>
        <w:t>Felnőttképzés tekintetében 2008 óta lehetőség van a gimnáziumi érettségi megszerzésére Csorváson.</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2013 óta az alábbi képzések indultak a közfoglalkoztatásban részt vevők számára: hegesztő, egészségőr, kisgépkezelő, kerti munkás, bio- és zöldhulladék hasznosító, gyógynövénygyűjtő, zöldség-gyümölcs tartósító (a nagy érdeklődésre való tekintettel kétszer is), és alapkompetencia-képzés, </w:t>
      </w:r>
      <w:r>
        <w:rPr>
          <w:rFonts w:ascii="Times New Roman" w:hAnsi="Times New Roman"/>
          <w:color w:val="000000"/>
          <w:sz w:val="24"/>
        </w:rPr>
        <w:t>vagyonőr-képzés</w:t>
      </w:r>
      <w:r>
        <w:rPr>
          <w:rFonts w:ascii="Times New Roman" w:hAnsi="Times New Roman"/>
          <w:sz w:val="24"/>
        </w:rPr>
        <w:t>. A közeli városokban önerős vagy különféle pályázatok által támogatott közép- és felsőfokú képesítéseket adó képzések indulnak. Egyéb munkaerő-piaci szolgáltatásokat a munkaügyi hivatalok szervezésében lehet elérni. Helyi foglalkoztatási programként jelenik meg a településen a közfoglalkoztatás. A településen kívül pedig a Vízügyi Igazgatóság és a Magyar Közút szervezésében indultak közfoglalkoztatási programok.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b/>
          <w:bCs/>
          <w:i/>
          <w:iCs/>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b/>
          <w:bCs/>
          <w:i/>
          <w:iCs/>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g)</w:t>
      </w:r>
      <w:r>
        <w:rPr>
          <w:rFonts w:ascii="Times New Roman" w:hAnsi="Times New Roman"/>
          <w:b/>
          <w:bCs/>
          <w:sz w:val="24"/>
        </w:rPr>
        <w:t xml:space="preserve"> mélyszegénységben élők és romák települési önkormányzati saját fenntartású intézményekben történő foglalkoztatása</w:t>
      </w:r>
    </w:p>
    <w:p w:rsidR="00795A46" w:rsidRDefault="00795A46" w:rsidP="00795A46">
      <w:pPr>
        <w:pStyle w:val="Tblacm"/>
        <w:rPr>
          <w:rFonts w:ascii="Times New Roman" w:hAnsi="Times New Roman"/>
          <w:bCs w:val="0"/>
          <w:color w:val="C00000"/>
          <w:sz w:val="24"/>
          <w:szCs w:val="24"/>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426"/>
        <w:rPr>
          <w:rFonts w:ascii="Times New Roman" w:hAnsi="Times New Roman"/>
          <w:color w:val="000000"/>
          <w:sz w:val="24"/>
        </w:rPr>
      </w:pPr>
      <w:bookmarkStart w:id="52" w:name="__RefHeading__105_1906745769"/>
      <w:bookmarkEnd w:id="52"/>
      <w:r>
        <w:rPr>
          <w:rFonts w:ascii="Times New Roman" w:hAnsi="Times New Roman"/>
          <w:sz w:val="24"/>
        </w:rPr>
        <w:t xml:space="preserve">A mélyszegénységben élők és romák foglakoztatása az önkormányzat saját fenntartású intézményeiben elsősorban közfoglalkoztatás keretében történik, </w:t>
      </w:r>
      <w:r>
        <w:rPr>
          <w:rFonts w:ascii="Times New Roman" w:hAnsi="Times New Roman"/>
          <w:color w:val="000000"/>
          <w:sz w:val="24"/>
        </w:rPr>
        <w:t>de a magukat romának vallók számáról az adatok szenzitivitása miatt nem készítünk kimutatásokat.</w:t>
      </w:r>
    </w:p>
    <w:p w:rsidR="00795A46" w:rsidRDefault="00795A46" w:rsidP="00795A46">
      <w:pPr>
        <w:autoSpaceDE w:val="0"/>
        <w:spacing w:after="20"/>
        <w:ind w:firstLine="142"/>
        <w:rPr>
          <w:rFonts w:ascii="Times New Roman" w:hAnsi="Times New Roman"/>
          <w:b/>
          <w:bCs/>
          <w:i/>
          <w:iCs/>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h)</w:t>
      </w:r>
      <w:r>
        <w:rPr>
          <w:rFonts w:ascii="Times New Roman" w:hAnsi="Times New Roman"/>
          <w:b/>
          <w:bCs/>
          <w:sz w:val="24"/>
        </w:rPr>
        <w:t xml:space="preserve"> hátrányos megkülönböztetés a foglalkoztatás területén</w:t>
      </w:r>
    </w:p>
    <w:p w:rsidR="00795A46" w:rsidRDefault="00795A46" w:rsidP="00795A46">
      <w:pPr>
        <w:rPr>
          <w:rFonts w:ascii="Times New Roman" w:hAnsi="Times New Roman"/>
          <w:sz w:val="20"/>
          <w:szCs w:val="20"/>
        </w:rPr>
      </w:pPr>
    </w:p>
    <w:p w:rsidR="00795A46" w:rsidRDefault="00795A46" w:rsidP="00795A46">
      <w:pPr>
        <w:ind w:firstLine="426"/>
        <w:rPr>
          <w:rFonts w:ascii="Times New Roman" w:hAnsi="Times New Roman"/>
          <w:sz w:val="24"/>
        </w:rPr>
      </w:pPr>
      <w:r>
        <w:rPr>
          <w:rFonts w:ascii="Times New Roman" w:hAnsi="Times New Roman"/>
          <w:sz w:val="24"/>
        </w:rPr>
        <w:t xml:space="preserve">Településünkön nincs adatunk vagy tudomásunk ilyen fajta diszkriminációról, a helyi foglalkoztatókkal kapcsolatban nem tudunk erről beszámolni.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A hátrányos megkülönböztetés nem csak a roma származású embereket érintheti, hanem a vidéken élő munkavállalókat is. Amennyiben helyben nincs elegendő munkahely, a munkavállaló a legközelebbi városokban keres munkát. Csorvási viszonylatban Orosháza és Békéscsaba a befogadó városok, ott vannak nagyobb üzemek, ahol lehetősége lehet elhelyezkedni a munkát keresőnek.</w:t>
      </w:r>
    </w:p>
    <w:p w:rsidR="00795A46" w:rsidRDefault="00795A46" w:rsidP="00795A46">
      <w:pPr>
        <w:rPr>
          <w:rFonts w:ascii="Times New Roman" w:hAnsi="Times New Roman"/>
          <w:sz w:val="24"/>
        </w:rPr>
      </w:pPr>
    </w:p>
    <w:p w:rsidR="00795A46" w:rsidRDefault="00795A46" w:rsidP="00795A46">
      <w:pPr>
        <w:numPr>
          <w:ilvl w:val="0"/>
          <w:numId w:val="10"/>
        </w:numPr>
        <w:ind w:left="426"/>
        <w:rPr>
          <w:rFonts w:ascii="Times New Roman" w:hAnsi="Times New Roman"/>
          <w:b/>
          <w:bCs/>
          <w:sz w:val="24"/>
        </w:rPr>
      </w:pPr>
      <w:r>
        <w:rPr>
          <w:rFonts w:ascii="Times New Roman" w:hAnsi="Times New Roman"/>
          <w:b/>
          <w:bCs/>
          <w:sz w:val="24"/>
        </w:rPr>
        <w:t>A digitális ismeretek megszerzésének és hozzáférésének lehetőségei</w:t>
      </w:r>
    </w:p>
    <w:p w:rsidR="00795A46" w:rsidRDefault="00795A46" w:rsidP="00795A46">
      <w:pPr>
        <w:rPr>
          <w:rFonts w:ascii="Times New Roman" w:hAnsi="Times New Roman"/>
          <w:sz w:val="24"/>
        </w:rPr>
      </w:pPr>
    </w:p>
    <w:p w:rsidR="00795A46" w:rsidRDefault="00795A46" w:rsidP="00795A46">
      <w:pPr>
        <w:jc w:val="left"/>
        <w:rPr>
          <w:rFonts w:ascii="Times New Roman" w:hAnsi="Times New Roman"/>
          <w:color w:val="000000"/>
          <w:sz w:val="24"/>
        </w:rPr>
      </w:pPr>
    </w:p>
    <w:p w:rsidR="00795A46" w:rsidRDefault="00795A46" w:rsidP="00795A46">
      <w:pPr>
        <w:ind w:firstLine="426"/>
        <w:rPr>
          <w:rFonts w:ascii="Times New Roman" w:hAnsi="Times New Roman"/>
          <w:color w:val="000000"/>
          <w:sz w:val="24"/>
        </w:rPr>
      </w:pPr>
      <w:r>
        <w:rPr>
          <w:rFonts w:ascii="Times New Roman" w:hAnsi="Times New Roman"/>
          <w:color w:val="000000"/>
          <w:sz w:val="24"/>
        </w:rPr>
        <w:t>A digitális eszközhasználat ma már az élet valamennyi területét átjárja. A munkában, szabadidőben vagy a tanulás során alkalmazott eszközök egyszerűsíthetik a mindennapi tevékenységeket, könnyebbé tehetik a munkaszerzést, növelhetik a szabadidős aktivitást és színesíthetik az életvitelt. A felnőttek és az idősebb korosztály internethasználatának fejlesztése elsősorban attól függ, felismerik-e ennek szükségességét, hajlandók-e használni a digitális vagy online eszközöket, és milyen mértékű a motivációjuk az új ismeretek megszerzésére.</w:t>
      </w:r>
    </w:p>
    <w:p w:rsidR="00795A46" w:rsidRDefault="00795A46" w:rsidP="00795A46">
      <w:pPr>
        <w:rPr>
          <w:rFonts w:ascii="Times New Roman" w:hAnsi="Times New Roman"/>
          <w:color w:val="000000"/>
          <w:sz w:val="24"/>
        </w:rPr>
      </w:pPr>
      <w:r>
        <w:rPr>
          <w:rFonts w:ascii="Times New Roman" w:hAnsi="Times New Roman"/>
          <w:color w:val="000000"/>
          <w:sz w:val="24"/>
        </w:rPr>
        <w:t xml:space="preserve">A sikeres munkavállaláshoz a korábban említetteken kívül még két meghatározó képesség hiányzik: a nyelvtudás és a digitális kompetenciák fejlesztése. A nyelvi szakadék megszüntetését célozzák pl. a nyelviskolák, de a digitális műveltség kompetenciájának elsajátítása még nem túlságosan szervezett folyamat a felnőttképzés keretében. Léteznek ugyan kormányzati cselekvési tervek (pl. ilyen volt a „Digitális megújulás cselekvési terv” 2010-ben), vagy a digitális kompetenciák megszüntetésére indított uniós támogatású projektek (pl. „Tudásod a jövőd” nevű program), de a digitális műveltség többet jelent, mint az informatikai készségek átadása, a munkaerő-piaci elhelyezkedésben pl. nagyfokú segítséget nyújt, a legtöbb piacképes szakmában pedig nélkülözhetetlen. </w:t>
      </w:r>
    </w:p>
    <w:p w:rsidR="00795A46" w:rsidRDefault="00795A46" w:rsidP="00795A46">
      <w:pPr>
        <w:rPr>
          <w:rFonts w:ascii="Times New Roman" w:hAnsi="Times New Roman"/>
          <w:color w:val="000000"/>
          <w:sz w:val="24"/>
        </w:rPr>
      </w:pPr>
      <w:r>
        <w:rPr>
          <w:rFonts w:ascii="Times New Roman" w:hAnsi="Times New Roman"/>
          <w:color w:val="000000"/>
          <w:sz w:val="24"/>
        </w:rPr>
        <w:t xml:space="preserve">Csorváson a Művelődési Ház és Könyvtárban ingyenesen hozzáférhető az internet, valamint a Családsegítő Szolgálat épületében is segítséget nyújtanak a digitális készségeket nélkülözőknek pl. önéletrajzírásban. </w:t>
      </w:r>
    </w:p>
    <w:p w:rsidR="00795A46" w:rsidRDefault="00795A46" w:rsidP="00795A46">
      <w:pPr>
        <w:autoSpaceDE w:val="0"/>
        <w:spacing w:after="20"/>
        <w:ind w:firstLine="142"/>
        <w:rPr>
          <w:rFonts w:ascii="Times New Roman" w:hAnsi="Times New Roman"/>
          <w:b/>
          <w:bCs/>
          <w:sz w:val="24"/>
        </w:rPr>
      </w:pPr>
    </w:p>
    <w:p w:rsidR="00795A46" w:rsidRDefault="00795A46" w:rsidP="00795A46">
      <w:pPr>
        <w:autoSpaceDE w:val="0"/>
        <w:spacing w:after="20"/>
        <w:ind w:firstLine="142"/>
        <w:rPr>
          <w:rFonts w:ascii="Times New Roman" w:hAnsi="Times New Roman"/>
          <w:b/>
          <w:bCs/>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sz w:val="24"/>
        </w:rPr>
        <w:t>3.3 Pénzbeli és természetbeni szociális ellátások, aktív korúak ellátása, munkanélküliséghez kapcsolódó támogatások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i/>
          <w:iCs/>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E fejezetben kiemeljük a pénzbeli és természetbeni szociális ellátásokat, valamint az álláskeresők számára elérhető támogatásokat és a munkaerő-piacra való visszajutásukat elősegítő szolgáltatásokat.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E területen az </w:t>
      </w:r>
      <w:r>
        <w:rPr>
          <w:rFonts w:ascii="Times New Roman" w:hAnsi="Times New Roman"/>
          <w:color w:val="000000"/>
          <w:sz w:val="24"/>
        </w:rPr>
        <w:t>Szt. 25. §, a 26. §, a</w:t>
      </w:r>
      <w:r>
        <w:rPr>
          <w:rFonts w:ascii="Times New Roman" w:hAnsi="Times New Roman"/>
          <w:color w:val="33CCCC"/>
          <w:sz w:val="24"/>
        </w:rPr>
        <w:t xml:space="preserve"> </w:t>
      </w:r>
      <w:r>
        <w:rPr>
          <w:rFonts w:ascii="Times New Roman" w:hAnsi="Times New Roman"/>
          <w:color w:val="000000"/>
          <w:sz w:val="24"/>
        </w:rPr>
        <w:t>45. §</w:t>
      </w:r>
      <w:r>
        <w:rPr>
          <w:rFonts w:ascii="Times New Roman" w:hAnsi="Times New Roman"/>
          <w:color w:val="0070C0"/>
          <w:sz w:val="24"/>
        </w:rPr>
        <w:t xml:space="preserve"> </w:t>
      </w:r>
      <w:r>
        <w:rPr>
          <w:rFonts w:ascii="Times New Roman" w:hAnsi="Times New Roman"/>
          <w:color w:val="000000"/>
          <w:sz w:val="24"/>
        </w:rPr>
        <w:t>és a</w:t>
      </w:r>
      <w:r>
        <w:rPr>
          <w:rFonts w:ascii="Times New Roman" w:hAnsi="Times New Roman"/>
          <w:color w:val="0070C0"/>
          <w:sz w:val="24"/>
        </w:rPr>
        <w:t xml:space="preserve"> </w:t>
      </w:r>
      <w:r>
        <w:rPr>
          <w:rFonts w:ascii="Times New Roman" w:hAnsi="Times New Roman"/>
          <w:color w:val="000000"/>
          <w:sz w:val="24"/>
        </w:rPr>
        <w:t>47. §-a alapján</w:t>
      </w:r>
      <w:r>
        <w:rPr>
          <w:rFonts w:ascii="Times New Roman" w:hAnsi="Times New Roman"/>
          <w:sz w:val="24"/>
        </w:rPr>
        <w:t xml:space="preserve"> a szociálisan rászoruló személyek részére a következő pénzbeli és természetbeni ellátási formák adhatók:</w:t>
      </w:r>
    </w:p>
    <w:p w:rsidR="00795A46" w:rsidRDefault="00795A46" w:rsidP="00795A46">
      <w:pPr>
        <w:numPr>
          <w:ilvl w:val="0"/>
          <w:numId w:val="11"/>
        </w:numPr>
        <w:rPr>
          <w:rFonts w:ascii="Times New Roman" w:hAnsi="Times New Roman"/>
          <w:sz w:val="24"/>
        </w:rPr>
      </w:pPr>
      <w:r>
        <w:rPr>
          <w:rFonts w:ascii="Times New Roman" w:hAnsi="Times New Roman"/>
          <w:sz w:val="24"/>
        </w:rPr>
        <w:t xml:space="preserve">Állami pénzbeli és természetbeni ellátások: </w:t>
      </w:r>
    </w:p>
    <w:p w:rsidR="00795A46" w:rsidRDefault="00795A46" w:rsidP="00795A46">
      <w:pPr>
        <w:numPr>
          <w:ilvl w:val="0"/>
          <w:numId w:val="12"/>
        </w:numPr>
        <w:rPr>
          <w:rFonts w:ascii="Times New Roman" w:hAnsi="Times New Roman"/>
          <w:sz w:val="24"/>
        </w:rPr>
      </w:pPr>
      <w:r>
        <w:rPr>
          <w:rFonts w:ascii="Times New Roman" w:hAnsi="Times New Roman"/>
          <w:sz w:val="24"/>
        </w:rPr>
        <w:t>az aktív korúak ellátásai: foglalkoztatást helyettesítő támogatás (pénzbeli), egészségkárosodási és gyermekfelügyeleti támogatás (pénzbeli), egészségügyi szolgáltatásra való jogosultság (természetbeni), közgyógyellátás (természetbeni)</w:t>
      </w:r>
    </w:p>
    <w:p w:rsidR="00795A46" w:rsidRDefault="00795A46" w:rsidP="00795A46">
      <w:pPr>
        <w:numPr>
          <w:ilvl w:val="0"/>
          <w:numId w:val="12"/>
        </w:numPr>
        <w:rPr>
          <w:rFonts w:ascii="Times New Roman" w:hAnsi="Times New Roman"/>
          <w:sz w:val="24"/>
        </w:rPr>
      </w:pPr>
      <w:r>
        <w:rPr>
          <w:rFonts w:ascii="Times New Roman" w:hAnsi="Times New Roman"/>
          <w:sz w:val="24"/>
        </w:rPr>
        <w:t>ápolási díj (pénzbeli)</w:t>
      </w:r>
    </w:p>
    <w:p w:rsidR="00795A46" w:rsidRDefault="00795A46" w:rsidP="00795A46">
      <w:pPr>
        <w:numPr>
          <w:ilvl w:val="0"/>
          <w:numId w:val="12"/>
        </w:numPr>
        <w:rPr>
          <w:rFonts w:ascii="Times New Roman" w:hAnsi="Times New Roman"/>
          <w:sz w:val="24"/>
        </w:rPr>
      </w:pPr>
      <w:r>
        <w:rPr>
          <w:rFonts w:ascii="Times New Roman" w:hAnsi="Times New Roman"/>
          <w:sz w:val="24"/>
        </w:rPr>
        <w:t>időskorúak járadéka (pénzbeli)</w:t>
      </w:r>
    </w:p>
    <w:p w:rsidR="00795A46" w:rsidRDefault="00795A46" w:rsidP="00795A46">
      <w:pPr>
        <w:numPr>
          <w:ilvl w:val="0"/>
          <w:numId w:val="12"/>
        </w:numPr>
        <w:rPr>
          <w:rFonts w:ascii="Times New Roman" w:hAnsi="Times New Roman"/>
          <w:sz w:val="24"/>
        </w:rPr>
      </w:pPr>
      <w:r>
        <w:rPr>
          <w:rFonts w:ascii="Times New Roman" w:hAnsi="Times New Roman"/>
          <w:sz w:val="24"/>
        </w:rPr>
        <w:t>nyugdíj előtti segély (pénzbeli)</w:t>
      </w:r>
    </w:p>
    <w:p w:rsidR="00795A46" w:rsidRDefault="00795A46" w:rsidP="00795A46">
      <w:pPr>
        <w:numPr>
          <w:ilvl w:val="0"/>
          <w:numId w:val="11"/>
        </w:numPr>
        <w:rPr>
          <w:rFonts w:ascii="Times New Roman" w:hAnsi="Times New Roman"/>
          <w:sz w:val="24"/>
        </w:rPr>
      </w:pPr>
      <w:r>
        <w:rPr>
          <w:rFonts w:ascii="Times New Roman" w:hAnsi="Times New Roman"/>
          <w:sz w:val="24"/>
        </w:rPr>
        <w:t xml:space="preserve">Önkormányzati pénzbeli és természetbeni ellátások: </w:t>
      </w:r>
    </w:p>
    <w:p w:rsidR="00795A46" w:rsidRDefault="00795A46" w:rsidP="00795A46">
      <w:pPr>
        <w:numPr>
          <w:ilvl w:val="0"/>
          <w:numId w:val="12"/>
        </w:numPr>
        <w:rPr>
          <w:rFonts w:ascii="Times New Roman" w:hAnsi="Times New Roman"/>
          <w:sz w:val="24"/>
        </w:rPr>
      </w:pPr>
      <w:r>
        <w:rPr>
          <w:rFonts w:ascii="Times New Roman" w:hAnsi="Times New Roman"/>
          <w:sz w:val="24"/>
        </w:rPr>
        <w:t>lakhatási települési támogatás (természetbeni), krízistámogatás (pénzbeli), rendkívüli települési támogatás (pénzbeli)</w:t>
      </w:r>
      <w:bookmarkStart w:id="53" w:name="__RefHeading__107_1906745769"/>
      <w:bookmarkStart w:id="54" w:name="_Hlk515978140"/>
      <w:bookmarkEnd w:id="53"/>
    </w:p>
    <w:bookmarkEnd w:id="54"/>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0"/>
          <w:szCs w:val="20"/>
        </w:rPr>
      </w:pPr>
    </w:p>
    <w:p w:rsidR="00795A46" w:rsidRDefault="00795A46" w:rsidP="00795A46">
      <w:pPr>
        <w:autoSpaceDE w:val="0"/>
        <w:spacing w:after="20"/>
        <w:rPr>
          <w:rFonts w:ascii="Times New Roman" w:hAnsi="Times New Roman"/>
          <w:sz w:val="24"/>
        </w:rPr>
      </w:pPr>
    </w:p>
    <w:p w:rsidR="00795A46" w:rsidRDefault="00795A46" w:rsidP="00795A46">
      <w:pPr>
        <w:pStyle w:val="Tblacm"/>
        <w:rPr>
          <w:rFonts w:ascii="Times New Roman" w:hAnsi="Times New Roman"/>
          <w:sz w:val="24"/>
          <w:szCs w:val="24"/>
          <w:shd w:val="clear" w:color="auto" w:fill="00FF00"/>
        </w:rPr>
      </w:pPr>
      <w:r>
        <w:rPr>
          <w:rFonts w:ascii="Times New Roman" w:hAnsi="Times New Roman"/>
          <w:sz w:val="24"/>
          <w:szCs w:val="24"/>
          <w:shd w:val="clear" w:color="auto" w:fill="00FF00"/>
        </w:rPr>
        <w:t>3.3.1. számú táblázat - Passzív foglalkoztatás-politikai eszközök - Álláskeresők ellátásai I.</w:t>
      </w:r>
    </w:p>
    <w:p w:rsidR="00795A46" w:rsidRDefault="00795A46" w:rsidP="00795A46">
      <w:pPr>
        <w:autoSpaceDE w:val="0"/>
        <w:spacing w:after="20"/>
        <w:rPr>
          <w:rFonts w:ascii="Times New Roman" w:hAnsi="Times New Roman"/>
          <w:b/>
          <w:bCs/>
          <w:sz w:val="24"/>
        </w:rPr>
      </w:pPr>
    </w:p>
    <w:tbl>
      <w:tblPr>
        <w:tblW w:w="9180" w:type="dxa"/>
        <w:tblInd w:w="2" w:type="dxa"/>
        <w:tblCellMar>
          <w:left w:w="70" w:type="dxa"/>
          <w:right w:w="70" w:type="dxa"/>
        </w:tblCellMar>
        <w:tblLook w:val="00A0" w:firstRow="1" w:lastRow="0" w:firstColumn="1" w:lastColumn="0" w:noHBand="0" w:noVBand="0"/>
      </w:tblPr>
      <w:tblGrid>
        <w:gridCol w:w="1280"/>
        <w:gridCol w:w="1420"/>
        <w:gridCol w:w="1580"/>
        <w:gridCol w:w="1540"/>
        <w:gridCol w:w="3360"/>
      </w:tblGrid>
      <w:tr w:rsidR="00795A46" w:rsidTr="00795A46">
        <w:trPr>
          <w:trHeight w:val="1386"/>
        </w:trPr>
        <w:tc>
          <w:tcPr>
            <w:tcW w:w="1280" w:type="dxa"/>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rsidR="00795A46" w:rsidRDefault="00795A46">
            <w:pPr>
              <w:suppressAutoHyphens w:val="0"/>
              <w:jc w:val="center"/>
              <w:rPr>
                <w:rFonts w:cs="Calibri"/>
                <w:b/>
                <w:bCs/>
                <w:szCs w:val="22"/>
                <w:lang w:eastAsia="hu-HU"/>
              </w:rPr>
            </w:pPr>
            <w:r>
              <w:rPr>
                <w:b/>
                <w:bCs/>
                <w:lang w:eastAsia="hu-HU"/>
              </w:rPr>
              <w:t>Év</w:t>
            </w:r>
          </w:p>
        </w:tc>
        <w:tc>
          <w:tcPr>
            <w:tcW w:w="3000" w:type="dxa"/>
            <w:gridSpan w:val="2"/>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Nyilvántartott álláskeresők száma</w:t>
            </w:r>
            <w:r>
              <w:rPr>
                <w:b/>
                <w:bCs/>
                <w:lang w:eastAsia="hu-HU"/>
              </w:rPr>
              <w:br/>
            </w:r>
            <w:r>
              <w:rPr>
                <w:lang w:eastAsia="hu-HU"/>
              </w:rPr>
              <w:t>(TS 052)</w:t>
            </w:r>
          </w:p>
        </w:tc>
        <w:tc>
          <w:tcPr>
            <w:tcW w:w="4900" w:type="dxa"/>
            <w:gridSpan w:val="2"/>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Álláskeresési ellátásban részesülő nyilvántartott álláskeresők száma</w:t>
            </w:r>
            <w:r>
              <w:rPr>
                <w:b/>
                <w:bCs/>
                <w:lang w:eastAsia="hu-HU"/>
              </w:rPr>
              <w:br/>
            </w:r>
            <w:r>
              <w:rPr>
                <w:lang w:eastAsia="hu-HU"/>
              </w:rPr>
              <w:t>(TS 047)</w:t>
            </w:r>
          </w:p>
        </w:tc>
      </w:tr>
      <w:tr w:rsidR="00795A46" w:rsidTr="00795A46">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142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c>
          <w:tcPr>
            <w:tcW w:w="1580"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sz w:val="18"/>
                <w:szCs w:val="18"/>
                <w:lang w:eastAsia="hu-HU"/>
              </w:rPr>
            </w:pPr>
            <w:r>
              <w:rPr>
                <w:b/>
                <w:bCs/>
                <w:sz w:val="18"/>
                <w:szCs w:val="18"/>
                <w:lang w:eastAsia="hu-HU"/>
              </w:rPr>
              <w:t>15-64 év közötti népesség  %-ában</w:t>
            </w:r>
          </w:p>
        </w:tc>
        <w:tc>
          <w:tcPr>
            <w:tcW w:w="154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szCs w:val="22"/>
                <w:lang w:eastAsia="hu-HU"/>
              </w:rPr>
            </w:pPr>
            <w:r>
              <w:rPr>
                <w:b/>
                <w:bCs/>
                <w:lang w:eastAsia="hu-HU"/>
              </w:rPr>
              <w:t>Fő</w:t>
            </w:r>
          </w:p>
        </w:tc>
        <w:tc>
          <w:tcPr>
            <w:tcW w:w="3360"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sz w:val="20"/>
                <w:szCs w:val="20"/>
                <w:lang w:eastAsia="hu-HU"/>
              </w:rPr>
            </w:pPr>
            <w:r>
              <w:rPr>
                <w:b/>
                <w:bCs/>
                <w:sz w:val="20"/>
                <w:szCs w:val="20"/>
                <w:lang w:eastAsia="hu-HU"/>
              </w:rPr>
              <w:t xml:space="preserve">Nyilvántartottak </w:t>
            </w:r>
            <w:r>
              <w:rPr>
                <w:b/>
                <w:bCs/>
                <w:sz w:val="20"/>
                <w:szCs w:val="20"/>
                <w:lang w:eastAsia="hu-HU"/>
              </w:rPr>
              <w:br/>
              <w:t>%-ában</w:t>
            </w:r>
          </w:p>
        </w:tc>
      </w:tr>
      <w:tr w:rsidR="00795A46" w:rsidTr="00795A46">
        <w:trPr>
          <w:trHeight w:val="420"/>
        </w:trPr>
        <w:tc>
          <w:tcPr>
            <w:tcW w:w="12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2015</w:t>
            </w:r>
          </w:p>
        </w:tc>
        <w:tc>
          <w:tcPr>
            <w:tcW w:w="14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152</w:t>
            </w:r>
          </w:p>
        </w:tc>
        <w:tc>
          <w:tcPr>
            <w:tcW w:w="158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4,80%</w:t>
            </w:r>
          </w:p>
        </w:tc>
        <w:tc>
          <w:tcPr>
            <w:tcW w:w="15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34</w:t>
            </w:r>
          </w:p>
        </w:tc>
        <w:tc>
          <w:tcPr>
            <w:tcW w:w="33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22,37%</w:t>
            </w:r>
          </w:p>
        </w:tc>
      </w:tr>
      <w:tr w:rsidR="00795A46" w:rsidTr="00795A46">
        <w:trPr>
          <w:trHeight w:val="300"/>
        </w:trPr>
        <w:tc>
          <w:tcPr>
            <w:tcW w:w="12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2016</w:t>
            </w:r>
          </w:p>
        </w:tc>
        <w:tc>
          <w:tcPr>
            <w:tcW w:w="14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139</w:t>
            </w:r>
          </w:p>
        </w:tc>
        <w:tc>
          <w:tcPr>
            <w:tcW w:w="158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4,47%</w:t>
            </w:r>
          </w:p>
        </w:tc>
        <w:tc>
          <w:tcPr>
            <w:tcW w:w="15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34</w:t>
            </w:r>
          </w:p>
        </w:tc>
        <w:tc>
          <w:tcPr>
            <w:tcW w:w="33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24,46%</w:t>
            </w:r>
          </w:p>
        </w:tc>
      </w:tr>
      <w:tr w:rsidR="00795A46" w:rsidTr="00795A46">
        <w:trPr>
          <w:trHeight w:val="300"/>
        </w:trPr>
        <w:tc>
          <w:tcPr>
            <w:tcW w:w="12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2017</w:t>
            </w:r>
          </w:p>
        </w:tc>
        <w:tc>
          <w:tcPr>
            <w:tcW w:w="14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102</w:t>
            </w:r>
          </w:p>
        </w:tc>
        <w:tc>
          <w:tcPr>
            <w:tcW w:w="158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3,31%</w:t>
            </w:r>
          </w:p>
        </w:tc>
        <w:tc>
          <w:tcPr>
            <w:tcW w:w="15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22</w:t>
            </w:r>
          </w:p>
        </w:tc>
        <w:tc>
          <w:tcPr>
            <w:tcW w:w="33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21,57%</w:t>
            </w:r>
          </w:p>
        </w:tc>
      </w:tr>
      <w:tr w:rsidR="00795A46" w:rsidTr="00795A46">
        <w:trPr>
          <w:trHeight w:val="300"/>
        </w:trPr>
        <w:tc>
          <w:tcPr>
            <w:tcW w:w="12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2018</w:t>
            </w:r>
          </w:p>
        </w:tc>
        <w:tc>
          <w:tcPr>
            <w:tcW w:w="14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110</w:t>
            </w:r>
          </w:p>
        </w:tc>
        <w:tc>
          <w:tcPr>
            <w:tcW w:w="158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3,62%</w:t>
            </w:r>
          </w:p>
        </w:tc>
        <w:tc>
          <w:tcPr>
            <w:tcW w:w="15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35</w:t>
            </w:r>
          </w:p>
        </w:tc>
        <w:tc>
          <w:tcPr>
            <w:tcW w:w="33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31,82%</w:t>
            </w:r>
          </w:p>
        </w:tc>
      </w:tr>
      <w:tr w:rsidR="00795A46" w:rsidTr="00795A46">
        <w:trPr>
          <w:trHeight w:val="300"/>
        </w:trPr>
        <w:tc>
          <w:tcPr>
            <w:tcW w:w="12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2019</w:t>
            </w:r>
          </w:p>
        </w:tc>
        <w:tc>
          <w:tcPr>
            <w:tcW w:w="14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127</w:t>
            </w:r>
          </w:p>
        </w:tc>
        <w:tc>
          <w:tcPr>
            <w:tcW w:w="158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4,26%</w:t>
            </w:r>
          </w:p>
        </w:tc>
        <w:tc>
          <w:tcPr>
            <w:tcW w:w="15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42</w:t>
            </w:r>
          </w:p>
        </w:tc>
        <w:tc>
          <w:tcPr>
            <w:tcW w:w="33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33,07%</w:t>
            </w:r>
          </w:p>
        </w:tc>
      </w:tr>
      <w:tr w:rsidR="00795A46" w:rsidTr="00795A46">
        <w:trPr>
          <w:trHeight w:val="300"/>
        </w:trPr>
        <w:tc>
          <w:tcPr>
            <w:tcW w:w="12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2020</w:t>
            </w:r>
          </w:p>
        </w:tc>
        <w:tc>
          <w:tcPr>
            <w:tcW w:w="14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58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w:t>
            </w:r>
          </w:p>
        </w:tc>
        <w:tc>
          <w:tcPr>
            <w:tcW w:w="15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33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w:t>
            </w:r>
          </w:p>
        </w:tc>
      </w:tr>
    </w:tbl>
    <w:p w:rsidR="00795A46" w:rsidRDefault="00795A46" w:rsidP="00795A46">
      <w:pPr>
        <w:autoSpaceDE w:val="0"/>
        <w:spacing w:after="20"/>
        <w:rPr>
          <w:rFonts w:ascii="Times New Roman" w:hAnsi="Times New Roman"/>
          <w:b/>
          <w:bCs/>
          <w:sz w:val="24"/>
        </w:rPr>
      </w:pPr>
    </w:p>
    <w:p w:rsidR="00795A46" w:rsidRDefault="00795A46" w:rsidP="00795A46">
      <w:pPr>
        <w:suppressAutoHyphens w:val="0"/>
        <w:rPr>
          <w:rFonts w:ascii="Times New Roman" w:hAnsi="Times New Roman"/>
          <w:szCs w:val="22"/>
          <w:lang w:eastAsia="hu-HU"/>
        </w:rPr>
      </w:pPr>
      <w:r>
        <w:rPr>
          <w:rFonts w:ascii="Times New Roman" w:hAnsi="Times New Roman"/>
          <w:lang w:eastAsia="hu-HU"/>
        </w:rPr>
        <w:t>Forrás: TeIR, Nemzeti Foglalkoztatási Szolgálat</w:t>
      </w:r>
    </w:p>
    <w:p w:rsidR="00795A46" w:rsidRDefault="00795A46" w:rsidP="00795A46">
      <w:pPr>
        <w:autoSpaceDE w:val="0"/>
        <w:spacing w:after="20"/>
        <w:rPr>
          <w:rFonts w:ascii="Times New Roman" w:hAnsi="Times New Roman"/>
          <w:b/>
          <w:bCs/>
          <w:sz w:val="24"/>
        </w:rPr>
      </w:pPr>
    </w:p>
    <w:p w:rsidR="00795A46" w:rsidRDefault="00795A46" w:rsidP="00795A46">
      <w:pPr>
        <w:autoSpaceDE w:val="0"/>
        <w:spacing w:after="20"/>
        <w:rPr>
          <w:rFonts w:ascii="Times New Roman" w:hAnsi="Times New Roman"/>
          <w:b/>
          <w:bCs/>
          <w:sz w:val="24"/>
        </w:rPr>
      </w:pPr>
      <w:r>
        <w:rPr>
          <w:noProof/>
          <w:lang w:eastAsia="hu-HU"/>
        </w:rPr>
        <w:drawing>
          <wp:inline distT="0" distB="0" distL="0" distR="0" wp14:anchorId="725B2C88" wp14:editId="2EC86301">
            <wp:extent cx="4438650" cy="2924175"/>
            <wp:effectExtent l="0" t="0" r="0" b="9525"/>
            <wp:docPr id="10" name="Kép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7"/>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8650" cy="2924175"/>
                    </a:xfrm>
                    <a:prstGeom prst="rect">
                      <a:avLst/>
                    </a:prstGeom>
                    <a:noFill/>
                    <a:ln>
                      <a:noFill/>
                    </a:ln>
                  </pic:spPr>
                </pic:pic>
              </a:graphicData>
            </a:graphic>
          </wp:inline>
        </w:drawing>
      </w: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ind w:firstLine="709"/>
        <w:rPr>
          <w:rFonts w:ascii="Times New Roman" w:hAnsi="Times New Roman"/>
          <w:color w:val="000000"/>
          <w:sz w:val="24"/>
        </w:rPr>
      </w:pPr>
      <w:r>
        <w:rPr>
          <w:rFonts w:ascii="Times New Roman" w:hAnsi="Times New Roman"/>
          <w:color w:val="000000"/>
          <w:sz w:val="24"/>
        </w:rPr>
        <w:t xml:space="preserve">Csorváson az elmúlt 5 évben sajnos a kimutatható csökkenés után újra emelkedett a nyilvántartott álláskeresők száma, bár az utolsó két évben megmutatkozhatott a covid járvány hatása is. Az álláskeresési ellátásra jogosultak viszonylag alacsony száma pedig azt mutatja, hogy a nyilvántartott álláskeresőknek csupán közel egyharmada lett munkanélküli a legalább egy évig tartó folyamatos munkaviszonyából, és kérte a Járási Hivatal Foglalkoztatási Osztályától az álláskeresési ellátás megállapítását, a többiek sajnos egy évnél rövidebb időtartamú munkaviszonnyal rendelkezhettek álláskeresővé válásuk előtt. </w:t>
      </w:r>
    </w:p>
    <w:p w:rsidR="00795A46" w:rsidRDefault="00795A46" w:rsidP="00795A46">
      <w:pPr>
        <w:autoSpaceDE w:val="0"/>
        <w:spacing w:after="20"/>
        <w:rPr>
          <w:rFonts w:ascii="Times New Roman" w:hAnsi="Times New Roman"/>
          <w:color w:val="000000"/>
          <w:sz w:val="24"/>
        </w:rPr>
      </w:pPr>
    </w:p>
    <w:p w:rsidR="00795A46" w:rsidRDefault="00795A46" w:rsidP="00795A46">
      <w:pPr>
        <w:autoSpaceDE w:val="0"/>
        <w:spacing w:after="20"/>
        <w:rPr>
          <w:rFonts w:ascii="Times New Roman" w:hAnsi="Times New Roman"/>
          <w:color w:val="000000"/>
          <w:sz w:val="24"/>
        </w:rPr>
      </w:pPr>
    </w:p>
    <w:p w:rsidR="00795A46" w:rsidRDefault="00795A46" w:rsidP="00795A46">
      <w:pPr>
        <w:pStyle w:val="Tblacm"/>
        <w:rPr>
          <w:rFonts w:ascii="Times New Roman" w:hAnsi="Times New Roman"/>
          <w:sz w:val="24"/>
          <w:szCs w:val="24"/>
          <w:shd w:val="clear" w:color="auto" w:fill="00FF00"/>
        </w:rPr>
      </w:pPr>
      <w:r>
        <w:rPr>
          <w:rFonts w:ascii="Times New Roman" w:hAnsi="Times New Roman"/>
          <w:sz w:val="24"/>
          <w:szCs w:val="24"/>
          <w:shd w:val="clear" w:color="auto" w:fill="00FF00"/>
        </w:rPr>
        <w:t>3.3.2. számú táblázat - Passzív foglalkoztatás-politikai eszközök - Álláskeresők ellátásai II.</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rPr>
      </w:pPr>
    </w:p>
    <w:tbl>
      <w:tblPr>
        <w:tblW w:w="9180" w:type="dxa"/>
        <w:tblInd w:w="2" w:type="dxa"/>
        <w:tblCellMar>
          <w:left w:w="70" w:type="dxa"/>
          <w:right w:w="70" w:type="dxa"/>
        </w:tblCellMar>
        <w:tblLook w:val="00A0" w:firstRow="1" w:lastRow="0" w:firstColumn="1" w:lastColumn="0" w:noHBand="0" w:noVBand="0"/>
      </w:tblPr>
      <w:tblGrid>
        <w:gridCol w:w="847"/>
        <w:gridCol w:w="898"/>
        <w:gridCol w:w="1653"/>
        <w:gridCol w:w="987"/>
        <w:gridCol w:w="2131"/>
        <w:gridCol w:w="992"/>
        <w:gridCol w:w="1672"/>
      </w:tblGrid>
      <w:tr w:rsidR="00795A46" w:rsidTr="00795A46">
        <w:trPr>
          <w:trHeight w:val="1024"/>
        </w:trPr>
        <w:tc>
          <w:tcPr>
            <w:tcW w:w="847" w:type="dxa"/>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rsidR="00795A46" w:rsidRDefault="00795A46">
            <w:pPr>
              <w:suppressAutoHyphens w:val="0"/>
              <w:jc w:val="center"/>
              <w:rPr>
                <w:rFonts w:cs="Calibri"/>
                <w:b/>
                <w:bCs/>
                <w:szCs w:val="22"/>
                <w:lang w:eastAsia="hu-HU"/>
              </w:rPr>
            </w:pPr>
            <w:r>
              <w:rPr>
                <w:b/>
                <w:bCs/>
                <w:lang w:eastAsia="hu-HU"/>
              </w:rPr>
              <w:t>Év</w:t>
            </w:r>
          </w:p>
        </w:tc>
        <w:tc>
          <w:tcPr>
            <w:tcW w:w="2551" w:type="dxa"/>
            <w:gridSpan w:val="2"/>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Szociális támogatásban részesülő nyilvántartott álláskeresők száma</w:t>
            </w:r>
            <w:r>
              <w:rPr>
                <w:b/>
                <w:bCs/>
                <w:lang w:eastAsia="hu-HU"/>
              </w:rPr>
              <w:br/>
            </w:r>
            <w:r>
              <w:rPr>
                <w:lang w:eastAsia="hu-HU"/>
              </w:rPr>
              <w:t>(TS 048)</w:t>
            </w:r>
          </w:p>
        </w:tc>
        <w:tc>
          <w:tcPr>
            <w:tcW w:w="3118" w:type="dxa"/>
            <w:gridSpan w:val="2"/>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Foglalkoztatást helyettesítő támogatásban részesítettek átlagos havi száma</w:t>
            </w:r>
            <w:r>
              <w:rPr>
                <w:lang w:eastAsia="hu-HU"/>
              </w:rPr>
              <w:t xml:space="preserve"> (TS 054)</w:t>
            </w:r>
          </w:p>
        </w:tc>
        <w:tc>
          <w:tcPr>
            <w:tcW w:w="2664" w:type="dxa"/>
            <w:gridSpan w:val="2"/>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Ellátásban részesülő nyilvántartott álláskeresők száma </w:t>
            </w:r>
            <w:r>
              <w:rPr>
                <w:lang w:eastAsia="hu-HU"/>
              </w:rPr>
              <w:t>(TS 049)</w:t>
            </w:r>
          </w:p>
        </w:tc>
      </w:tr>
      <w:tr w:rsidR="00795A46" w:rsidTr="00795A46">
        <w:trPr>
          <w:trHeight w:val="12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898"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sz w:val="20"/>
                <w:szCs w:val="20"/>
                <w:lang w:eastAsia="hu-HU"/>
              </w:rPr>
            </w:pPr>
            <w:r>
              <w:rPr>
                <w:b/>
                <w:bCs/>
                <w:sz w:val="20"/>
                <w:szCs w:val="20"/>
                <w:lang w:eastAsia="hu-HU"/>
              </w:rPr>
              <w:t>Fő</w:t>
            </w:r>
          </w:p>
        </w:tc>
        <w:tc>
          <w:tcPr>
            <w:tcW w:w="1653"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szCs w:val="22"/>
                <w:lang w:eastAsia="hu-HU"/>
              </w:rPr>
            </w:pPr>
            <w:r>
              <w:rPr>
                <w:b/>
                <w:bCs/>
                <w:lang w:eastAsia="hu-HU"/>
              </w:rPr>
              <w:t xml:space="preserve">Nyilvántartottak  </w:t>
            </w:r>
            <w:r>
              <w:rPr>
                <w:b/>
                <w:bCs/>
                <w:lang w:eastAsia="hu-HU"/>
              </w:rPr>
              <w:br/>
              <w:t>%-ában</w:t>
            </w:r>
          </w:p>
        </w:tc>
        <w:tc>
          <w:tcPr>
            <w:tcW w:w="987"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Fő</w:t>
            </w:r>
          </w:p>
        </w:tc>
        <w:tc>
          <w:tcPr>
            <w:tcW w:w="2131"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Nyilvántartottak  </w:t>
            </w:r>
            <w:r>
              <w:rPr>
                <w:b/>
                <w:bCs/>
                <w:lang w:eastAsia="hu-HU"/>
              </w:rPr>
              <w:br/>
              <w:t>%-ában</w:t>
            </w:r>
          </w:p>
        </w:tc>
        <w:tc>
          <w:tcPr>
            <w:tcW w:w="992"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c>
          <w:tcPr>
            <w:tcW w:w="1672"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Nyilvántartottak </w:t>
            </w:r>
            <w:r>
              <w:rPr>
                <w:b/>
                <w:bCs/>
                <w:lang w:eastAsia="hu-HU"/>
              </w:rPr>
              <w:br/>
              <w:t>%-ában</w:t>
            </w:r>
          </w:p>
        </w:tc>
      </w:tr>
      <w:tr w:rsidR="00795A46" w:rsidTr="00795A46">
        <w:trPr>
          <w:trHeight w:val="420"/>
        </w:trPr>
        <w:tc>
          <w:tcPr>
            <w:tcW w:w="847"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898"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41</w:t>
            </w:r>
          </w:p>
        </w:tc>
        <w:tc>
          <w:tcPr>
            <w:tcW w:w="165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26,97%</w:t>
            </w:r>
          </w:p>
        </w:tc>
        <w:tc>
          <w:tcPr>
            <w:tcW w:w="9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213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75</w:t>
            </w:r>
          </w:p>
        </w:tc>
        <w:tc>
          <w:tcPr>
            <w:tcW w:w="1672"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49,34%</w:t>
            </w:r>
          </w:p>
        </w:tc>
      </w:tr>
      <w:tr w:rsidR="00795A46" w:rsidTr="00795A46">
        <w:trPr>
          <w:trHeight w:val="300"/>
        </w:trPr>
        <w:tc>
          <w:tcPr>
            <w:tcW w:w="847"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2016</w:t>
            </w:r>
          </w:p>
        </w:tc>
        <w:tc>
          <w:tcPr>
            <w:tcW w:w="898"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26</w:t>
            </w:r>
          </w:p>
        </w:tc>
        <w:tc>
          <w:tcPr>
            <w:tcW w:w="165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18,71%</w:t>
            </w:r>
          </w:p>
        </w:tc>
        <w:tc>
          <w:tcPr>
            <w:tcW w:w="9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213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60</w:t>
            </w:r>
          </w:p>
        </w:tc>
        <w:tc>
          <w:tcPr>
            <w:tcW w:w="1672"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43,17%</w:t>
            </w:r>
          </w:p>
        </w:tc>
      </w:tr>
      <w:tr w:rsidR="00795A46" w:rsidTr="00795A46">
        <w:trPr>
          <w:trHeight w:val="300"/>
        </w:trPr>
        <w:tc>
          <w:tcPr>
            <w:tcW w:w="847"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2017</w:t>
            </w:r>
          </w:p>
        </w:tc>
        <w:tc>
          <w:tcPr>
            <w:tcW w:w="898"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w:t>
            </w:r>
          </w:p>
        </w:tc>
        <w:tc>
          <w:tcPr>
            <w:tcW w:w="165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17,65%</w:t>
            </w:r>
          </w:p>
        </w:tc>
        <w:tc>
          <w:tcPr>
            <w:tcW w:w="9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26</w:t>
            </w:r>
          </w:p>
        </w:tc>
        <w:tc>
          <w:tcPr>
            <w:tcW w:w="213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25,04%</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40</w:t>
            </w:r>
          </w:p>
        </w:tc>
        <w:tc>
          <w:tcPr>
            <w:tcW w:w="1672"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39,22%</w:t>
            </w:r>
          </w:p>
        </w:tc>
      </w:tr>
      <w:tr w:rsidR="00795A46" w:rsidTr="00795A46">
        <w:trPr>
          <w:trHeight w:val="300"/>
        </w:trPr>
        <w:tc>
          <w:tcPr>
            <w:tcW w:w="847"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2018</w:t>
            </w:r>
          </w:p>
        </w:tc>
        <w:tc>
          <w:tcPr>
            <w:tcW w:w="898"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w:t>
            </w:r>
          </w:p>
        </w:tc>
        <w:tc>
          <w:tcPr>
            <w:tcW w:w="165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16,36%</w:t>
            </w:r>
          </w:p>
        </w:tc>
        <w:tc>
          <w:tcPr>
            <w:tcW w:w="9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c>
          <w:tcPr>
            <w:tcW w:w="213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18,11%</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53</w:t>
            </w:r>
          </w:p>
        </w:tc>
        <w:tc>
          <w:tcPr>
            <w:tcW w:w="1672"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48,18%</w:t>
            </w:r>
          </w:p>
        </w:tc>
      </w:tr>
      <w:tr w:rsidR="00795A46" w:rsidTr="00795A46">
        <w:trPr>
          <w:trHeight w:val="300"/>
        </w:trPr>
        <w:tc>
          <w:tcPr>
            <w:tcW w:w="847"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2019</w:t>
            </w:r>
          </w:p>
        </w:tc>
        <w:tc>
          <w:tcPr>
            <w:tcW w:w="898"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17</w:t>
            </w:r>
          </w:p>
        </w:tc>
        <w:tc>
          <w:tcPr>
            <w:tcW w:w="165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13,39%</w:t>
            </w:r>
          </w:p>
        </w:tc>
        <w:tc>
          <w:tcPr>
            <w:tcW w:w="9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19</w:t>
            </w:r>
          </w:p>
        </w:tc>
        <w:tc>
          <w:tcPr>
            <w:tcW w:w="213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14,90%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59</w:t>
            </w:r>
          </w:p>
        </w:tc>
        <w:tc>
          <w:tcPr>
            <w:tcW w:w="1672"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46,46%</w:t>
            </w:r>
          </w:p>
        </w:tc>
      </w:tr>
      <w:tr w:rsidR="00795A46" w:rsidTr="00795A46">
        <w:trPr>
          <w:trHeight w:val="300"/>
        </w:trPr>
        <w:tc>
          <w:tcPr>
            <w:tcW w:w="847"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2020</w:t>
            </w:r>
          </w:p>
        </w:tc>
        <w:tc>
          <w:tcPr>
            <w:tcW w:w="898"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65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w:t>
            </w:r>
          </w:p>
        </w:tc>
        <w:tc>
          <w:tcPr>
            <w:tcW w:w="9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213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672"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Forrás: TeIR, Nemzeti Foglalkoztatási Szolgálat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noProof/>
          <w:lang w:eastAsia="hu-HU"/>
        </w:rPr>
        <w:drawing>
          <wp:inline distT="0" distB="0" distL="0" distR="0" wp14:anchorId="588AF21B" wp14:editId="6576E05B">
            <wp:extent cx="3924300" cy="3600450"/>
            <wp:effectExtent l="0" t="0" r="0" b="0"/>
            <wp:docPr id="9" name="Kép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24300" cy="3600450"/>
                    </a:xfrm>
                    <a:prstGeom prst="rect">
                      <a:avLst/>
                    </a:prstGeom>
                    <a:noFill/>
                    <a:ln>
                      <a:noFill/>
                    </a:ln>
                  </pic:spPr>
                </pic:pic>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color w:val="000000"/>
          <w:sz w:val="24"/>
        </w:rPr>
      </w:pPr>
      <w:r>
        <w:rPr>
          <w:rFonts w:ascii="Times New Roman" w:hAnsi="Times New Roman"/>
          <w:color w:val="000000"/>
          <w:sz w:val="24"/>
        </w:rPr>
        <w:t>A nyilvántartott csorvási álláskeresőknek átlagosan 18 százaléka részesült valamilyen szociális támogatásban az elmúlt öt év átlagában. Kimutatható, hogy a fenti táblázatban szereplők közel fele volt olyan rászoruló, aki szociális ellátásokra való jogosultságot szerzett magának azzal egyidejűleg, hogy a munkaviszonya megszűnt és regisztrált álláskeresővé vált.</w:t>
      </w:r>
    </w:p>
    <w:p w:rsidR="00795A46" w:rsidRDefault="00795A46" w:rsidP="00795A46">
      <w:pPr>
        <w:pStyle w:val="Tblacm"/>
        <w:rPr>
          <w:rFonts w:ascii="Times New Roman" w:hAnsi="Times New Roman"/>
          <w:sz w:val="24"/>
          <w:szCs w:val="24"/>
          <w:shd w:val="clear" w:color="auto" w:fill="00FF00"/>
        </w:rPr>
      </w:pPr>
    </w:p>
    <w:p w:rsidR="00795A46" w:rsidRDefault="00795A46" w:rsidP="00795A46">
      <w:pPr>
        <w:pStyle w:val="Tblacm"/>
        <w:rPr>
          <w:rFonts w:ascii="Times New Roman" w:hAnsi="Times New Roman"/>
          <w:sz w:val="24"/>
          <w:szCs w:val="24"/>
          <w:shd w:val="clear" w:color="auto" w:fill="00FF00"/>
        </w:rPr>
      </w:pPr>
      <w:r>
        <w:rPr>
          <w:rFonts w:ascii="Times New Roman" w:hAnsi="Times New Roman"/>
          <w:sz w:val="24"/>
          <w:szCs w:val="24"/>
          <w:shd w:val="clear" w:color="auto" w:fill="00FF00"/>
        </w:rPr>
        <w:t>3.3.3. számú táblázat - Egészségkárosodási és gyermekfelügyeleti támogatás</w:t>
      </w:r>
    </w:p>
    <w:p w:rsidR="00795A46" w:rsidRDefault="00795A46" w:rsidP="00795A46">
      <w:pPr>
        <w:autoSpaceDE w:val="0"/>
        <w:spacing w:after="20"/>
        <w:rPr>
          <w:rFonts w:ascii="Times New Roman" w:hAnsi="Times New Roman"/>
          <w:b/>
          <w:bCs/>
          <w:sz w:val="24"/>
        </w:rPr>
      </w:pPr>
    </w:p>
    <w:tbl>
      <w:tblPr>
        <w:tblW w:w="7100" w:type="dxa"/>
        <w:tblInd w:w="2" w:type="dxa"/>
        <w:tblCellMar>
          <w:left w:w="70" w:type="dxa"/>
          <w:right w:w="70" w:type="dxa"/>
        </w:tblCellMar>
        <w:tblLook w:val="00A0" w:firstRow="1" w:lastRow="0" w:firstColumn="1" w:lastColumn="0" w:noHBand="0" w:noVBand="0"/>
      </w:tblPr>
      <w:tblGrid>
        <w:gridCol w:w="1420"/>
        <w:gridCol w:w="5680"/>
      </w:tblGrid>
      <w:tr w:rsidR="00795A46" w:rsidTr="00795A46">
        <w:trPr>
          <w:trHeight w:val="949"/>
        </w:trPr>
        <w:tc>
          <w:tcPr>
            <w:tcW w:w="1420" w:type="dxa"/>
            <w:vMerge w:val="restart"/>
            <w:tcBorders>
              <w:top w:val="single" w:sz="4" w:space="0" w:color="auto"/>
              <w:left w:val="single" w:sz="4" w:space="0" w:color="auto"/>
              <w:bottom w:val="single" w:sz="4" w:space="0" w:color="000000"/>
              <w:right w:val="single" w:sz="4" w:space="0" w:color="auto"/>
            </w:tcBorders>
            <w:shd w:val="clear" w:color="auto" w:fill="E2EFDA"/>
            <w:noWrap/>
            <w:vAlign w:val="center"/>
            <w:hideMark/>
          </w:tcPr>
          <w:p w:rsidR="00795A46" w:rsidRDefault="00795A46">
            <w:pPr>
              <w:suppressAutoHyphens w:val="0"/>
              <w:jc w:val="center"/>
              <w:rPr>
                <w:rFonts w:cs="Calibri"/>
                <w:b/>
                <w:bCs/>
                <w:szCs w:val="22"/>
                <w:lang w:eastAsia="hu-HU"/>
              </w:rPr>
            </w:pPr>
            <w:r>
              <w:rPr>
                <w:b/>
                <w:bCs/>
                <w:lang w:eastAsia="hu-HU"/>
              </w:rPr>
              <w:t>Év</w:t>
            </w:r>
          </w:p>
        </w:tc>
        <w:tc>
          <w:tcPr>
            <w:tcW w:w="568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Egészségkárosodási és gyermekfelügyeleti támogatásban részesítettek havi átlagos száma</w:t>
            </w:r>
            <w:r>
              <w:rPr>
                <w:b/>
                <w:bCs/>
                <w:lang w:eastAsia="hu-HU"/>
              </w:rPr>
              <w:br/>
            </w:r>
            <w:r>
              <w:rPr>
                <w:lang w:eastAsia="hu-HU"/>
              </w:rPr>
              <w:t>(TS 056)</w:t>
            </w:r>
          </w:p>
        </w:tc>
      </w:tr>
      <w:tr w:rsidR="00795A46" w:rsidTr="00795A46">
        <w:trPr>
          <w:trHeight w:val="368"/>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jc w:val="left"/>
              <w:rPr>
                <w:b/>
                <w:bCs/>
                <w:szCs w:val="22"/>
                <w:lang w:eastAsia="hu-HU"/>
              </w:rPr>
            </w:pPr>
          </w:p>
        </w:tc>
        <w:tc>
          <w:tcPr>
            <w:tcW w:w="5680"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fő</w:t>
            </w:r>
          </w:p>
        </w:tc>
      </w:tr>
      <w:tr w:rsidR="00795A46" w:rsidTr="00795A46">
        <w:trPr>
          <w:trHeight w:val="420"/>
        </w:trPr>
        <w:tc>
          <w:tcPr>
            <w:tcW w:w="14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5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r w:rsidR="00795A46" w:rsidTr="00795A46">
        <w:trPr>
          <w:trHeight w:val="300"/>
        </w:trPr>
        <w:tc>
          <w:tcPr>
            <w:tcW w:w="14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5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r w:rsidR="00795A46" w:rsidTr="00795A46">
        <w:trPr>
          <w:trHeight w:val="300"/>
        </w:trPr>
        <w:tc>
          <w:tcPr>
            <w:tcW w:w="14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5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8</w:t>
            </w:r>
          </w:p>
        </w:tc>
      </w:tr>
      <w:tr w:rsidR="00795A46" w:rsidTr="00795A46">
        <w:trPr>
          <w:trHeight w:val="300"/>
        </w:trPr>
        <w:tc>
          <w:tcPr>
            <w:tcW w:w="14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5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9</w:t>
            </w:r>
          </w:p>
        </w:tc>
      </w:tr>
      <w:tr w:rsidR="00795A46" w:rsidTr="00795A46">
        <w:trPr>
          <w:trHeight w:val="300"/>
        </w:trPr>
        <w:tc>
          <w:tcPr>
            <w:tcW w:w="14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5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9</w:t>
            </w:r>
          </w:p>
        </w:tc>
      </w:tr>
      <w:tr w:rsidR="00795A46" w:rsidTr="00795A46">
        <w:trPr>
          <w:trHeight w:val="300"/>
        </w:trPr>
        <w:tc>
          <w:tcPr>
            <w:tcW w:w="14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5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bl>
    <w:p w:rsidR="00795A46" w:rsidRDefault="00795A46" w:rsidP="00795A46">
      <w:pPr>
        <w:autoSpaceDE w:val="0"/>
        <w:spacing w:after="20"/>
        <w:rPr>
          <w:rFonts w:ascii="Times New Roman" w:hAnsi="Times New Roman"/>
          <w:b/>
          <w:bCs/>
          <w:sz w:val="24"/>
        </w:rPr>
      </w:pPr>
    </w:p>
    <w:p w:rsidR="00795A46" w:rsidRDefault="00795A46" w:rsidP="00795A46">
      <w:pPr>
        <w:autoSpaceDE w:val="0"/>
        <w:spacing w:after="20"/>
        <w:rPr>
          <w:rFonts w:ascii="Times New Roman" w:hAnsi="Times New Roman"/>
          <w:b/>
          <w:bCs/>
          <w:sz w:val="24"/>
        </w:rPr>
      </w:pPr>
      <w:r>
        <w:rPr>
          <w:rFonts w:ascii="Times New Roman" w:hAnsi="Times New Roman"/>
          <w:sz w:val="24"/>
        </w:rPr>
        <w:t>Forrás: TeIR, KSH-TSTAR</w:t>
      </w:r>
    </w:p>
    <w:p w:rsidR="00795A46" w:rsidRDefault="00795A46" w:rsidP="00795A46">
      <w:pPr>
        <w:autoSpaceDE w:val="0"/>
        <w:spacing w:after="20"/>
        <w:rPr>
          <w:rFonts w:ascii="Times New Roman" w:hAnsi="Times New Roman"/>
          <w:color w:val="000000"/>
          <w:sz w:val="24"/>
        </w:rPr>
      </w:pPr>
    </w:p>
    <w:p w:rsidR="00795A46" w:rsidRDefault="00795A46" w:rsidP="00795A46">
      <w:pPr>
        <w:autoSpaceDE w:val="0"/>
        <w:spacing w:after="20"/>
        <w:rPr>
          <w:rFonts w:ascii="Times New Roman" w:hAnsi="Times New Roman"/>
          <w:color w:val="000000"/>
          <w:sz w:val="24"/>
        </w:rPr>
      </w:pPr>
      <w:r>
        <w:rPr>
          <w:noProof/>
          <w:lang w:eastAsia="hu-HU"/>
        </w:rPr>
        <w:drawing>
          <wp:inline distT="0" distB="0" distL="0" distR="0" wp14:anchorId="1C89E824" wp14:editId="719B61D3">
            <wp:extent cx="4533900" cy="2943225"/>
            <wp:effectExtent l="0" t="0" r="0" b="9525"/>
            <wp:docPr id="11" name="Diagram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95A46" w:rsidRDefault="00795A46" w:rsidP="00795A46">
      <w:pPr>
        <w:autoSpaceDE w:val="0"/>
        <w:spacing w:after="20"/>
        <w:rPr>
          <w:rFonts w:ascii="Times New Roman" w:hAnsi="Times New Roman"/>
          <w:color w:val="000000"/>
          <w:sz w:val="24"/>
        </w:rPr>
      </w:pPr>
    </w:p>
    <w:p w:rsidR="00795A46" w:rsidRDefault="00795A46" w:rsidP="00795A46">
      <w:pPr>
        <w:autoSpaceDE w:val="0"/>
        <w:spacing w:after="20"/>
        <w:ind w:firstLine="709"/>
        <w:rPr>
          <w:rFonts w:ascii="Times New Roman" w:hAnsi="Times New Roman"/>
          <w:color w:val="000000"/>
          <w:sz w:val="24"/>
        </w:rPr>
      </w:pPr>
      <w:r>
        <w:rPr>
          <w:rFonts w:ascii="Times New Roman" w:hAnsi="Times New Roman"/>
          <w:color w:val="000000"/>
          <w:sz w:val="24"/>
        </w:rPr>
        <w:t xml:space="preserve">Azok a bizonyos fokú egészségkárosodással élő aktív korú személyek, akik nem részesülhetnek a rokkantsági ellátásokban, az aktív korúakat megillető szociális ellátásként rendszeres pénzellátást kaphatnak. A Járási Hivatal nem állapított meg Csorváson élő, tartósan beteg gyermekének otthoni ellátását vállaló szülő számára ilyen gyermekfelügyeleti támogatást, tehát ezt a két külön jogcímen igényelhető, de egy néven szereplő ellátást csak a saját egészségkárosodásuk miatt jogosult nagykorúak kapják Csorváson. Róluk elmondható, hogy egészségkárosodásuk okán huzamosabb ideje élnek csak ebből a szerény összegű jövedelemből, ám mindegyikük részesül egyéb, a települési önkormányzattól igényelhető rendszeres szociális ellátásban: lakhatási kiadásaikat, gyermekeik ellátását támogatjuk, és a váratlanul jelentkező, életüket még bizonytalanabbá tevő kiadásaikhoz a szükségleteiknek megfelelően támogatást nyújtjuk. </w:t>
      </w:r>
    </w:p>
    <w:p w:rsidR="00795A46" w:rsidRDefault="00795A46" w:rsidP="00795A46">
      <w:pPr>
        <w:autoSpaceDE w:val="0"/>
        <w:spacing w:after="20"/>
        <w:rPr>
          <w:rFonts w:ascii="Times New Roman" w:hAnsi="Times New Roman"/>
          <w:b/>
          <w:bCs/>
          <w:color w:val="000000"/>
          <w:sz w:val="24"/>
        </w:rPr>
      </w:pPr>
    </w:p>
    <w:p w:rsidR="00795A46" w:rsidRDefault="00795A46" w:rsidP="00795A46">
      <w:pPr>
        <w:autoSpaceDE w:val="0"/>
        <w:spacing w:after="20"/>
        <w:rPr>
          <w:rFonts w:ascii="Times New Roman" w:hAnsi="Times New Roman"/>
          <w:b/>
          <w:bCs/>
          <w:color w:val="000000"/>
          <w:sz w:val="24"/>
        </w:rPr>
      </w:pPr>
    </w:p>
    <w:p w:rsidR="00795A46" w:rsidRDefault="00795A46" w:rsidP="00795A46">
      <w:pPr>
        <w:autoSpaceDE w:val="0"/>
        <w:spacing w:after="20"/>
        <w:rPr>
          <w:rFonts w:ascii="Times New Roman" w:hAnsi="Times New Roman"/>
          <w:b/>
          <w:bCs/>
          <w:sz w:val="24"/>
        </w:rPr>
      </w:pPr>
      <w:r>
        <w:rPr>
          <w:rFonts w:ascii="Times New Roman" w:hAnsi="Times New Roman"/>
          <w:b/>
          <w:bCs/>
          <w:sz w:val="24"/>
        </w:rPr>
        <w:t>3.4 Lakhatás, lakáshoz jutás, lakhatási szegregáció</w:t>
      </w:r>
    </w:p>
    <w:p w:rsidR="00795A46" w:rsidRDefault="00795A46" w:rsidP="00795A46">
      <w:pP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4"/>
        </w:rPr>
      </w:pPr>
      <w:r>
        <w:rPr>
          <w:rFonts w:ascii="Times New Roman" w:hAnsi="Times New Roman"/>
          <w:sz w:val="24"/>
        </w:rPr>
        <w:t>E fejezetben a lakhatáshoz kapcsolódó területet elemezzük, kiemelve a bérlakás-állományt, a szociális lakhatást, az egyéb lakáscélra nem használt lakáscélú ingatlanokat, feltárva a településen fellelhető elégtelen lakhatási körülményeket, veszélyeztetett lakhatási helyzeteket és hajléktalanságot, illetve a lakhatást segítő támogatásokat. E mellett részletezzük a lakhatásra vonatkozó egyéb jellemzőket, elsősorban a szolgáltatásokhoz való hozzáférést.</w:t>
      </w:r>
    </w:p>
    <w:p w:rsidR="00795A46" w:rsidRDefault="00795A46" w:rsidP="00795A46">
      <w:pPr>
        <w:pStyle w:val="Tblacm"/>
        <w:rPr>
          <w:rFonts w:ascii="Times New Roman" w:hAnsi="Times New Roman"/>
          <w:sz w:val="24"/>
          <w:szCs w:val="24"/>
          <w:shd w:val="clear" w:color="auto" w:fill="00FF00"/>
        </w:rPr>
      </w:pPr>
    </w:p>
    <w:p w:rsidR="00795A46" w:rsidRDefault="00795A46" w:rsidP="00795A46">
      <w:pPr>
        <w:pStyle w:val="Tblacm"/>
        <w:rPr>
          <w:rFonts w:ascii="Times New Roman" w:hAnsi="Times New Roman"/>
          <w:sz w:val="24"/>
          <w:szCs w:val="24"/>
          <w:shd w:val="clear" w:color="auto" w:fill="00FF00"/>
        </w:rPr>
      </w:pPr>
      <w:r>
        <w:rPr>
          <w:rFonts w:ascii="Times New Roman" w:hAnsi="Times New Roman"/>
          <w:sz w:val="24"/>
          <w:szCs w:val="24"/>
          <w:shd w:val="clear" w:color="auto" w:fill="00FF00"/>
        </w:rPr>
        <w:t>3.4.1. számú táblázat</w:t>
      </w:r>
      <w:r>
        <w:rPr>
          <w:rFonts w:ascii="Times New Roman" w:hAnsi="Times New Roman"/>
          <w:b/>
          <w:bCs w:val="0"/>
          <w:sz w:val="24"/>
          <w:szCs w:val="24"/>
          <w:shd w:val="clear" w:color="auto" w:fill="00FF00"/>
        </w:rPr>
        <w:t xml:space="preserve"> </w:t>
      </w:r>
      <w:r>
        <w:rPr>
          <w:rFonts w:ascii="Times New Roman" w:hAnsi="Times New Roman"/>
          <w:sz w:val="24"/>
          <w:szCs w:val="24"/>
          <w:shd w:val="clear" w:color="auto" w:fill="00FF00"/>
        </w:rPr>
        <w:t>– Lakásállomány</w:t>
      </w:r>
    </w:p>
    <w:p w:rsidR="00795A46" w:rsidRDefault="00795A46" w:rsidP="00795A46">
      <w:pPr>
        <w:pStyle w:val="Tblacm"/>
        <w:rPr>
          <w:rFonts w:ascii="Times New Roman" w:hAnsi="Times New Roman"/>
          <w:sz w:val="24"/>
          <w:szCs w:val="24"/>
          <w:shd w:val="clear" w:color="auto" w:fill="00FF00"/>
        </w:rPr>
      </w:pPr>
    </w:p>
    <w:tbl>
      <w:tblPr>
        <w:tblW w:w="9180" w:type="dxa"/>
        <w:tblInd w:w="2" w:type="dxa"/>
        <w:tblLayout w:type="fixed"/>
        <w:tblCellMar>
          <w:left w:w="70" w:type="dxa"/>
          <w:right w:w="70" w:type="dxa"/>
        </w:tblCellMar>
        <w:tblLook w:val="00A0" w:firstRow="1" w:lastRow="0" w:firstColumn="1" w:lastColumn="0" w:noHBand="0" w:noVBand="0"/>
      </w:tblPr>
      <w:tblGrid>
        <w:gridCol w:w="720"/>
        <w:gridCol w:w="1260"/>
        <w:gridCol w:w="1080"/>
        <w:gridCol w:w="1260"/>
        <w:gridCol w:w="1080"/>
        <w:gridCol w:w="2340"/>
        <w:gridCol w:w="1440"/>
      </w:tblGrid>
      <w:tr w:rsidR="00795A46" w:rsidTr="00795A46">
        <w:trPr>
          <w:trHeight w:val="1617"/>
        </w:trPr>
        <w:tc>
          <w:tcPr>
            <w:tcW w:w="720" w:type="dxa"/>
            <w:vMerge w:val="restart"/>
            <w:tcBorders>
              <w:top w:val="single" w:sz="4" w:space="0" w:color="auto"/>
              <w:left w:val="single" w:sz="4" w:space="0" w:color="auto"/>
              <w:bottom w:val="single" w:sz="4" w:space="0" w:color="000000"/>
              <w:right w:val="single" w:sz="4" w:space="0" w:color="auto"/>
            </w:tcBorders>
            <w:shd w:val="clear" w:color="auto" w:fill="E2EFDA"/>
            <w:vAlign w:val="center"/>
            <w:hideMark/>
          </w:tcPr>
          <w:p w:rsidR="00795A46" w:rsidRDefault="00795A46">
            <w:pPr>
              <w:suppressAutoHyphens w:val="0"/>
              <w:jc w:val="center"/>
              <w:rPr>
                <w:rFonts w:cs="Calibri"/>
                <w:b/>
                <w:bCs/>
                <w:sz w:val="20"/>
                <w:szCs w:val="20"/>
                <w:lang w:eastAsia="hu-HU"/>
              </w:rPr>
            </w:pPr>
            <w:r>
              <w:rPr>
                <w:b/>
                <w:bCs/>
                <w:sz w:val="20"/>
                <w:szCs w:val="20"/>
                <w:lang w:eastAsia="hu-HU"/>
              </w:rPr>
              <w:t>Év</w:t>
            </w:r>
          </w:p>
        </w:tc>
        <w:tc>
          <w:tcPr>
            <w:tcW w:w="126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szCs w:val="22"/>
                <w:lang w:eastAsia="hu-HU"/>
              </w:rPr>
            </w:pPr>
            <w:r>
              <w:rPr>
                <w:b/>
                <w:bCs/>
                <w:lang w:eastAsia="hu-HU"/>
              </w:rPr>
              <w:t xml:space="preserve"> Lakásállomány (db)</w:t>
            </w:r>
            <w:r>
              <w:rPr>
                <w:b/>
                <w:bCs/>
                <w:lang w:eastAsia="hu-HU"/>
              </w:rPr>
              <w:br/>
            </w:r>
            <w:r>
              <w:rPr>
                <w:lang w:eastAsia="hu-HU"/>
              </w:rPr>
              <w:t>(TS 073)</w:t>
            </w:r>
          </w:p>
        </w:tc>
        <w:tc>
          <w:tcPr>
            <w:tcW w:w="108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Épített lakások száma</w:t>
            </w:r>
            <w:r>
              <w:rPr>
                <w:b/>
                <w:bCs/>
                <w:lang w:eastAsia="hu-HU"/>
              </w:rPr>
              <w:br/>
            </w:r>
            <w:r>
              <w:rPr>
                <w:lang w:eastAsia="hu-HU"/>
              </w:rPr>
              <w:t>(TS 077)</w:t>
            </w:r>
          </w:p>
        </w:tc>
        <w:tc>
          <w:tcPr>
            <w:tcW w:w="126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Épített lakások száma 1000 lakásra</w:t>
            </w:r>
            <w:r>
              <w:rPr>
                <w:b/>
                <w:bCs/>
                <w:lang w:eastAsia="hu-HU"/>
              </w:rPr>
              <w:br/>
            </w:r>
            <w:r>
              <w:rPr>
                <w:lang w:eastAsia="hu-HU"/>
              </w:rPr>
              <w:t>(TS 078)</w:t>
            </w:r>
          </w:p>
        </w:tc>
        <w:tc>
          <w:tcPr>
            <w:tcW w:w="108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1-2 szobás lakások aránya</w:t>
            </w:r>
            <w:r>
              <w:rPr>
                <w:b/>
                <w:bCs/>
                <w:lang w:eastAsia="hu-HU"/>
              </w:rPr>
              <w:br/>
            </w:r>
            <w:r>
              <w:rPr>
                <w:lang w:eastAsia="hu-HU"/>
              </w:rPr>
              <w:t>(TS 076)</w:t>
            </w:r>
          </w:p>
        </w:tc>
        <w:tc>
          <w:tcPr>
            <w:tcW w:w="234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A közüzemi szennyvízgyűjtő-hálózatba </w:t>
            </w:r>
            <w:r>
              <w:rPr>
                <w:b/>
                <w:bCs/>
                <w:lang w:eastAsia="hu-HU"/>
              </w:rPr>
              <w:br/>
              <w:t xml:space="preserve"> bekapcsolt lakások aránya </w:t>
            </w:r>
            <w:r>
              <w:rPr>
                <w:lang w:eastAsia="hu-HU"/>
              </w:rPr>
              <w:t>(TS 074)</w:t>
            </w:r>
          </w:p>
        </w:tc>
        <w:tc>
          <w:tcPr>
            <w:tcW w:w="144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A közüzemi ivóvízvezeték-hálózatba bekapcsolt lakások aránya </w:t>
            </w:r>
            <w:r>
              <w:rPr>
                <w:lang w:eastAsia="hu-HU"/>
              </w:rPr>
              <w:t>(TS 075)</w:t>
            </w:r>
          </w:p>
        </w:tc>
      </w:tr>
      <w:tr w:rsidR="00795A46" w:rsidTr="00795A46">
        <w:trPr>
          <w:trHeight w:val="531"/>
        </w:trPr>
        <w:tc>
          <w:tcPr>
            <w:tcW w:w="720" w:type="dxa"/>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jc w:val="left"/>
              <w:rPr>
                <w:b/>
                <w:bCs/>
                <w:sz w:val="20"/>
                <w:szCs w:val="20"/>
                <w:lang w:eastAsia="hu-HU"/>
              </w:rPr>
            </w:pPr>
          </w:p>
        </w:tc>
        <w:tc>
          <w:tcPr>
            <w:tcW w:w="126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db</w:t>
            </w:r>
          </w:p>
        </w:tc>
        <w:tc>
          <w:tcPr>
            <w:tcW w:w="108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db</w:t>
            </w:r>
          </w:p>
        </w:tc>
        <w:tc>
          <w:tcPr>
            <w:tcW w:w="126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db</w:t>
            </w:r>
          </w:p>
        </w:tc>
        <w:tc>
          <w:tcPr>
            <w:tcW w:w="108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w:t>
            </w:r>
          </w:p>
        </w:tc>
        <w:tc>
          <w:tcPr>
            <w:tcW w:w="234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w:t>
            </w:r>
          </w:p>
        </w:tc>
        <w:tc>
          <w:tcPr>
            <w:tcW w:w="144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w:t>
            </w:r>
          </w:p>
        </w:tc>
      </w:tr>
      <w:tr w:rsidR="00795A46" w:rsidTr="00795A46">
        <w:trPr>
          <w:trHeight w:val="420"/>
        </w:trPr>
        <w:tc>
          <w:tcPr>
            <w:tcW w:w="7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2357</w:t>
            </w:r>
          </w:p>
        </w:tc>
        <w:tc>
          <w:tcPr>
            <w:tcW w:w="1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54,00%</w:t>
            </w:r>
          </w:p>
        </w:tc>
        <w:tc>
          <w:tcPr>
            <w:tcW w:w="23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88,54%</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w:t>
            </w:r>
          </w:p>
        </w:tc>
      </w:tr>
      <w:tr w:rsidR="00795A46" w:rsidTr="00795A46">
        <w:trPr>
          <w:trHeight w:val="300"/>
        </w:trPr>
        <w:tc>
          <w:tcPr>
            <w:tcW w:w="7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2357</w:t>
            </w:r>
          </w:p>
        </w:tc>
        <w:tc>
          <w:tcPr>
            <w:tcW w:w="1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54,09%</w:t>
            </w:r>
          </w:p>
        </w:tc>
        <w:tc>
          <w:tcPr>
            <w:tcW w:w="23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86,13%</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w:t>
            </w:r>
          </w:p>
        </w:tc>
      </w:tr>
      <w:tr w:rsidR="00795A46" w:rsidTr="00795A46">
        <w:trPr>
          <w:trHeight w:val="300"/>
        </w:trPr>
        <w:tc>
          <w:tcPr>
            <w:tcW w:w="7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2357</w:t>
            </w:r>
          </w:p>
        </w:tc>
        <w:tc>
          <w:tcPr>
            <w:tcW w:w="1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54,09%</w:t>
            </w:r>
          </w:p>
        </w:tc>
        <w:tc>
          <w:tcPr>
            <w:tcW w:w="23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86,17%</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w:t>
            </w:r>
          </w:p>
        </w:tc>
      </w:tr>
      <w:tr w:rsidR="00795A46" w:rsidTr="00795A46">
        <w:trPr>
          <w:trHeight w:val="300"/>
        </w:trPr>
        <w:tc>
          <w:tcPr>
            <w:tcW w:w="7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2357</w:t>
            </w:r>
          </w:p>
        </w:tc>
        <w:tc>
          <w:tcPr>
            <w:tcW w:w="1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54,09%</w:t>
            </w:r>
          </w:p>
        </w:tc>
        <w:tc>
          <w:tcPr>
            <w:tcW w:w="23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86,76%</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w:t>
            </w:r>
          </w:p>
        </w:tc>
      </w:tr>
      <w:tr w:rsidR="00795A46" w:rsidTr="00795A46">
        <w:trPr>
          <w:trHeight w:val="300"/>
        </w:trPr>
        <w:tc>
          <w:tcPr>
            <w:tcW w:w="7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2356</w:t>
            </w:r>
          </w:p>
        </w:tc>
        <w:tc>
          <w:tcPr>
            <w:tcW w:w="1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54,07%</w:t>
            </w:r>
          </w:p>
        </w:tc>
        <w:tc>
          <w:tcPr>
            <w:tcW w:w="23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87,14%</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w:t>
            </w:r>
          </w:p>
        </w:tc>
      </w:tr>
      <w:tr w:rsidR="00795A46" w:rsidTr="00795A46">
        <w:trPr>
          <w:trHeight w:val="300"/>
        </w:trPr>
        <w:tc>
          <w:tcPr>
            <w:tcW w:w="7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23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Cs w:val="22"/>
          <w:lang w:eastAsia="hu-HU"/>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lang w:eastAsia="hu-HU"/>
        </w:rPr>
      </w:pPr>
      <w:r>
        <w:rPr>
          <w:rFonts w:ascii="Times New Roman" w:hAnsi="Times New Roman"/>
          <w:color w:val="000000"/>
          <w:lang w:eastAsia="hu-HU"/>
        </w:rPr>
        <w:t>Forrás: önkormányzati adatok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cs="Calibri"/>
        </w:rPr>
      </w:pPr>
      <w:r>
        <w:rPr>
          <w:noProof/>
          <w:lang w:eastAsia="hu-HU"/>
        </w:rPr>
        <w:drawing>
          <wp:inline distT="0" distB="0" distL="0" distR="0" wp14:anchorId="7104D70E" wp14:editId="61BB3A95">
            <wp:extent cx="5534025" cy="4057650"/>
            <wp:effectExtent l="0" t="0" r="9525" b="0"/>
            <wp:docPr id="12" name="Diagram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rPr>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567"/>
        <w:rPr>
          <w:rFonts w:ascii="Times New Roman" w:hAnsi="Times New Roman"/>
          <w:color w:val="000000"/>
          <w:sz w:val="24"/>
        </w:rPr>
      </w:pPr>
      <w:r>
        <w:rPr>
          <w:rFonts w:ascii="Times New Roman" w:hAnsi="Times New Roman"/>
          <w:color w:val="000000"/>
          <w:sz w:val="24"/>
        </w:rPr>
        <w:t xml:space="preserve">Csorváson az összes lakásállományból kb. 220-250 lakatlan lakóház van. Ezeknek az ingatlanoknak az állapota évről-évre romlik, ezek között legalább kb. 20 db elégtelen lakhatási körülményeket biztosító lakás.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a)</w:t>
      </w:r>
      <w:r>
        <w:rPr>
          <w:rFonts w:ascii="Times New Roman" w:hAnsi="Times New Roman"/>
          <w:b/>
          <w:bCs/>
          <w:sz w:val="24"/>
        </w:rPr>
        <w:t xml:space="preserve"> bérlakás-állomány</w:t>
      </w:r>
    </w:p>
    <w:p w:rsidR="00795A46" w:rsidRDefault="00795A46" w:rsidP="00795A46">
      <w:pPr>
        <w:rPr>
          <w:rFonts w:ascii="Times New Roman" w:hAnsi="Times New Roman"/>
          <w:sz w:val="24"/>
        </w:rPr>
      </w:pPr>
    </w:p>
    <w:p w:rsidR="00795A46" w:rsidRDefault="00795A46" w:rsidP="00795A46">
      <w:pPr>
        <w:ind w:firstLine="426"/>
        <w:rPr>
          <w:rFonts w:ascii="Times New Roman" w:hAnsi="Times New Roman"/>
          <w:sz w:val="24"/>
        </w:rPr>
      </w:pPr>
      <w:r>
        <w:rPr>
          <w:rFonts w:ascii="Times New Roman" w:hAnsi="Times New Roman"/>
          <w:sz w:val="24"/>
        </w:rPr>
        <w:t xml:space="preserve">Csorváson nincs szociális alapon bérbe adható lakás. Az önkormányzat bérlakás állománya 23 db lakás. Ebből 16 lakás az ún. „Fecskeház” lakóegységeit képezi, ezek ifjúsági garzonlakások, melyeket </w:t>
      </w:r>
      <w:r>
        <w:rPr>
          <w:rFonts w:ascii="Times New Roman" w:hAnsi="Times New Roman"/>
          <w:color w:val="000000"/>
          <w:sz w:val="24"/>
        </w:rPr>
        <w:t>elsősorban</w:t>
      </w:r>
      <w:r>
        <w:rPr>
          <w:rFonts w:ascii="Times New Roman" w:hAnsi="Times New Roman"/>
          <w:sz w:val="24"/>
        </w:rPr>
        <w:t xml:space="preserve"> lakás-előtakarékossági szerződés megkötése mellett kedvezményesen ad bérbe az önkormányzat. További 7 db önkormányzati bérlakást piaci alapú, önkormányzati rendeletben rögzített bérleti díj fizetése mellett ad bérbe a települési önkormányzat.</w:t>
      </w:r>
    </w:p>
    <w:p w:rsidR="00795A46" w:rsidRDefault="00795A46" w:rsidP="00795A46">
      <w:pP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highlight w:val="green"/>
        </w:rPr>
        <w:t>3.4.2. számú táblázat - Bérlakás és szociális lakás állomány opcionális (önkormányzati adatok)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tbl>
      <w:tblPr>
        <w:tblW w:w="8740" w:type="dxa"/>
        <w:tblInd w:w="2" w:type="dxa"/>
        <w:tblCellMar>
          <w:left w:w="70" w:type="dxa"/>
          <w:right w:w="70" w:type="dxa"/>
        </w:tblCellMar>
        <w:tblLook w:val="00A0" w:firstRow="1" w:lastRow="0" w:firstColumn="1" w:lastColumn="0" w:noHBand="0" w:noVBand="0"/>
      </w:tblPr>
      <w:tblGrid>
        <w:gridCol w:w="567"/>
        <w:gridCol w:w="1312"/>
        <w:gridCol w:w="1349"/>
        <w:gridCol w:w="874"/>
        <w:gridCol w:w="1349"/>
        <w:gridCol w:w="1279"/>
        <w:gridCol w:w="1349"/>
        <w:gridCol w:w="981"/>
      </w:tblGrid>
      <w:tr w:rsidR="00795A46" w:rsidTr="00795A46">
        <w:trPr>
          <w:trHeight w:val="2160"/>
        </w:trPr>
        <w:tc>
          <w:tcPr>
            <w:tcW w:w="531" w:type="dxa"/>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rsidR="00795A46" w:rsidRDefault="00795A46">
            <w:pPr>
              <w:suppressAutoHyphens w:val="0"/>
              <w:jc w:val="center"/>
              <w:rPr>
                <w:rFonts w:cs="Calibri"/>
                <w:b/>
                <w:bCs/>
                <w:sz w:val="20"/>
                <w:szCs w:val="20"/>
                <w:lang w:eastAsia="hu-HU"/>
              </w:rPr>
            </w:pPr>
            <w:r>
              <w:rPr>
                <w:b/>
                <w:bCs/>
                <w:sz w:val="20"/>
                <w:szCs w:val="20"/>
                <w:lang w:eastAsia="hu-HU"/>
              </w:rPr>
              <w:t>Év</w:t>
            </w:r>
          </w:p>
        </w:tc>
        <w:tc>
          <w:tcPr>
            <w:tcW w:w="1256"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sz w:val="20"/>
                <w:szCs w:val="20"/>
                <w:lang w:eastAsia="hu-HU"/>
              </w:rPr>
            </w:pPr>
            <w:r>
              <w:rPr>
                <w:b/>
                <w:bCs/>
                <w:sz w:val="20"/>
                <w:szCs w:val="20"/>
                <w:lang w:eastAsia="hu-HU"/>
              </w:rPr>
              <w:t xml:space="preserve"> Lakásállomány (db)</w:t>
            </w:r>
            <w:r>
              <w:rPr>
                <w:b/>
                <w:bCs/>
                <w:sz w:val="20"/>
                <w:szCs w:val="20"/>
                <w:lang w:eastAsia="hu-HU"/>
              </w:rPr>
              <w:br/>
            </w:r>
            <w:r>
              <w:rPr>
                <w:sz w:val="20"/>
                <w:szCs w:val="20"/>
                <w:lang w:eastAsia="hu-HU"/>
              </w:rPr>
              <w:t>(TS 073)</w:t>
            </w:r>
          </w:p>
        </w:tc>
        <w:tc>
          <w:tcPr>
            <w:tcW w:w="1294"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sz w:val="20"/>
                <w:szCs w:val="20"/>
                <w:lang w:eastAsia="hu-HU"/>
              </w:rPr>
            </w:pPr>
            <w:r>
              <w:rPr>
                <w:b/>
                <w:bCs/>
                <w:sz w:val="20"/>
                <w:szCs w:val="20"/>
                <w:lang w:eastAsia="hu-HU"/>
              </w:rPr>
              <w:t>Ebből elégtelen lakhatási körülményeket biztosító lakások száma</w:t>
            </w:r>
          </w:p>
        </w:tc>
        <w:tc>
          <w:tcPr>
            <w:tcW w:w="835"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sz w:val="20"/>
                <w:szCs w:val="20"/>
                <w:lang w:eastAsia="hu-HU"/>
              </w:rPr>
            </w:pPr>
            <w:r>
              <w:rPr>
                <w:b/>
                <w:bCs/>
                <w:sz w:val="20"/>
                <w:szCs w:val="20"/>
                <w:lang w:eastAsia="hu-HU"/>
              </w:rPr>
              <w:t>Bérlakás állomány (db)</w:t>
            </w:r>
          </w:p>
        </w:tc>
        <w:tc>
          <w:tcPr>
            <w:tcW w:w="1308"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sz w:val="20"/>
                <w:szCs w:val="20"/>
                <w:lang w:eastAsia="hu-HU"/>
              </w:rPr>
            </w:pPr>
            <w:r>
              <w:rPr>
                <w:b/>
                <w:bCs/>
                <w:sz w:val="20"/>
                <w:szCs w:val="20"/>
                <w:lang w:eastAsia="hu-HU"/>
              </w:rPr>
              <w:t>Ebből elégtelen lakhatási körülményeket biztosító lakások száma</w:t>
            </w:r>
          </w:p>
        </w:tc>
        <w:tc>
          <w:tcPr>
            <w:tcW w:w="1221"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sz w:val="20"/>
                <w:szCs w:val="20"/>
                <w:lang w:eastAsia="hu-HU"/>
              </w:rPr>
            </w:pPr>
            <w:r>
              <w:rPr>
                <w:b/>
                <w:bCs/>
                <w:sz w:val="20"/>
                <w:szCs w:val="20"/>
                <w:lang w:eastAsia="hu-HU"/>
              </w:rPr>
              <w:t>Szociális lakásállomány (db)</w:t>
            </w:r>
          </w:p>
        </w:tc>
        <w:tc>
          <w:tcPr>
            <w:tcW w:w="1294"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sz w:val="20"/>
                <w:szCs w:val="20"/>
                <w:lang w:eastAsia="hu-HU"/>
              </w:rPr>
            </w:pPr>
            <w:r>
              <w:rPr>
                <w:b/>
                <w:bCs/>
                <w:sz w:val="20"/>
                <w:szCs w:val="20"/>
                <w:lang w:eastAsia="hu-HU"/>
              </w:rPr>
              <w:t>Ebből elégtelen lakhatási körülményeket biztosító lakások száma</w:t>
            </w:r>
          </w:p>
        </w:tc>
        <w:tc>
          <w:tcPr>
            <w:tcW w:w="1001"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sz w:val="20"/>
                <w:szCs w:val="20"/>
                <w:lang w:eastAsia="hu-HU"/>
              </w:rPr>
            </w:pPr>
            <w:r>
              <w:rPr>
                <w:b/>
                <w:bCs/>
                <w:sz w:val="20"/>
                <w:szCs w:val="20"/>
                <w:lang w:eastAsia="hu-HU"/>
              </w:rPr>
              <w:t>Egyéb lakáscélra használt nem lakáscélú ingatlanok (db)</w:t>
            </w:r>
          </w:p>
        </w:tc>
      </w:tr>
      <w:tr w:rsidR="00795A46" w:rsidTr="00795A46">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 w:val="20"/>
                <w:szCs w:val="20"/>
                <w:lang w:eastAsia="hu-HU"/>
              </w:rPr>
            </w:pPr>
          </w:p>
        </w:tc>
        <w:tc>
          <w:tcPr>
            <w:tcW w:w="1256"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szCs w:val="22"/>
                <w:lang w:eastAsia="hu-HU"/>
              </w:rPr>
            </w:pPr>
            <w:r>
              <w:rPr>
                <w:b/>
                <w:bCs/>
                <w:lang w:eastAsia="hu-HU"/>
              </w:rPr>
              <w:t>db</w:t>
            </w:r>
          </w:p>
        </w:tc>
        <w:tc>
          <w:tcPr>
            <w:tcW w:w="1294"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db</w:t>
            </w:r>
          </w:p>
        </w:tc>
        <w:tc>
          <w:tcPr>
            <w:tcW w:w="835"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db</w:t>
            </w:r>
          </w:p>
        </w:tc>
        <w:tc>
          <w:tcPr>
            <w:tcW w:w="1308"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db</w:t>
            </w:r>
          </w:p>
        </w:tc>
        <w:tc>
          <w:tcPr>
            <w:tcW w:w="1221"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db</w:t>
            </w:r>
          </w:p>
        </w:tc>
        <w:tc>
          <w:tcPr>
            <w:tcW w:w="1294"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db</w:t>
            </w:r>
          </w:p>
        </w:tc>
        <w:tc>
          <w:tcPr>
            <w:tcW w:w="1001"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db</w:t>
            </w:r>
          </w:p>
        </w:tc>
      </w:tr>
      <w:tr w:rsidR="00795A46" w:rsidTr="00795A46">
        <w:trPr>
          <w:trHeight w:val="420"/>
        </w:trPr>
        <w:tc>
          <w:tcPr>
            <w:tcW w:w="531"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125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2 357</w:t>
            </w:r>
          </w:p>
        </w:tc>
        <w:tc>
          <w:tcPr>
            <w:tcW w:w="1294"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835"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23</w:t>
            </w:r>
          </w:p>
        </w:tc>
        <w:tc>
          <w:tcPr>
            <w:tcW w:w="1308"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221"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294"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001"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r>
      <w:tr w:rsidR="00795A46" w:rsidTr="00795A46">
        <w:trPr>
          <w:trHeight w:val="300"/>
        </w:trPr>
        <w:tc>
          <w:tcPr>
            <w:tcW w:w="531"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125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2 357</w:t>
            </w:r>
          </w:p>
        </w:tc>
        <w:tc>
          <w:tcPr>
            <w:tcW w:w="1294"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835"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23</w:t>
            </w:r>
          </w:p>
        </w:tc>
        <w:tc>
          <w:tcPr>
            <w:tcW w:w="1308"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221"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294"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001"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r>
      <w:tr w:rsidR="00795A46" w:rsidTr="00795A46">
        <w:trPr>
          <w:trHeight w:val="300"/>
        </w:trPr>
        <w:tc>
          <w:tcPr>
            <w:tcW w:w="531"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125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2 357</w:t>
            </w:r>
          </w:p>
        </w:tc>
        <w:tc>
          <w:tcPr>
            <w:tcW w:w="1294"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835"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23</w:t>
            </w:r>
          </w:p>
        </w:tc>
        <w:tc>
          <w:tcPr>
            <w:tcW w:w="1308"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221"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294"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001"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r>
      <w:tr w:rsidR="00795A46" w:rsidTr="00795A46">
        <w:trPr>
          <w:trHeight w:val="300"/>
        </w:trPr>
        <w:tc>
          <w:tcPr>
            <w:tcW w:w="531"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125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2 357</w:t>
            </w:r>
          </w:p>
        </w:tc>
        <w:tc>
          <w:tcPr>
            <w:tcW w:w="1294"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835"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23</w:t>
            </w:r>
          </w:p>
        </w:tc>
        <w:tc>
          <w:tcPr>
            <w:tcW w:w="1308"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221"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294"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001"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r>
      <w:tr w:rsidR="00795A46" w:rsidTr="00795A46">
        <w:trPr>
          <w:trHeight w:val="300"/>
        </w:trPr>
        <w:tc>
          <w:tcPr>
            <w:tcW w:w="531"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125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2 356</w:t>
            </w:r>
          </w:p>
        </w:tc>
        <w:tc>
          <w:tcPr>
            <w:tcW w:w="1294"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835"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23</w:t>
            </w:r>
          </w:p>
        </w:tc>
        <w:tc>
          <w:tcPr>
            <w:tcW w:w="1308"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221"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294"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001"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r>
      <w:tr w:rsidR="00795A46" w:rsidTr="00795A46">
        <w:trPr>
          <w:trHeight w:val="300"/>
        </w:trPr>
        <w:tc>
          <w:tcPr>
            <w:tcW w:w="531"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125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294"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835"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23</w:t>
            </w:r>
          </w:p>
        </w:tc>
        <w:tc>
          <w:tcPr>
            <w:tcW w:w="1308"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221"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294"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001"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Forrás: TeIR, KSH Tstar, önkormányzati adatok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noProof/>
          <w:lang w:eastAsia="hu-HU"/>
        </w:rPr>
        <w:drawing>
          <wp:inline distT="0" distB="0" distL="0" distR="0" wp14:anchorId="66C341C4" wp14:editId="6BBEDBA9">
            <wp:extent cx="2790825" cy="2990850"/>
            <wp:effectExtent l="0" t="0" r="9525" b="0"/>
            <wp:docPr id="13" name="Diagram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b)</w:t>
      </w:r>
      <w:r>
        <w:rPr>
          <w:rFonts w:ascii="Times New Roman" w:hAnsi="Times New Roman"/>
          <w:b/>
          <w:bCs/>
          <w:sz w:val="24"/>
        </w:rPr>
        <w:t xml:space="preserve"> szociális lakhatás</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ind w:firstLine="426"/>
        <w:rPr>
          <w:rFonts w:ascii="Times New Roman" w:hAnsi="Times New Roman"/>
          <w:color w:val="000000"/>
          <w:sz w:val="24"/>
        </w:rPr>
      </w:pPr>
      <w:r>
        <w:rPr>
          <w:rFonts w:ascii="Times New Roman" w:hAnsi="Times New Roman"/>
          <w:sz w:val="24"/>
        </w:rPr>
        <w:t xml:space="preserve">Szociális bérlakások nincsenek a településen. A lakosság lakhatása megoldott, vagy az ilyen jellegű problémáit saját maga megoldja, akár esetenként komfort nélküli lakásokban is.  Csorváson nincsenek olyan településrészek, amelyek mesterségesen elkülönülnek, és bizonyos tulajdonságokkal rendelkező csoportok lakhatását szolgálják, </w:t>
      </w:r>
      <w:r>
        <w:rPr>
          <w:rFonts w:ascii="Times New Roman" w:hAnsi="Times New Roman"/>
          <w:color w:val="000000"/>
          <w:sz w:val="24"/>
        </w:rPr>
        <w:t xml:space="preserve">tehát Csorváson nem alakultak ki szegregátumok. </w:t>
      </w:r>
      <w:r>
        <w:rPr>
          <w:rFonts w:ascii="Times New Roman" w:hAnsi="Times New Roman"/>
          <w:sz w:val="24"/>
        </w:rPr>
        <w:t xml:space="preserve">A nehéz anyagi körülmények között élők a város kisebb albérleteibe, vagy bérlakásokba szeretnének költözni. Bár ez még nem megoldott a városban, ha léteznének, sem vezethetnének szegregátumok kialakulásához. </w:t>
      </w:r>
    </w:p>
    <w:p w:rsidR="00795A46" w:rsidRDefault="00795A46" w:rsidP="00795A46">
      <w:pPr>
        <w:autoSpaceDE w:val="0"/>
        <w:spacing w:after="20"/>
        <w:rPr>
          <w:rFonts w:ascii="Times New Roman" w:hAnsi="Times New Roman"/>
          <w:b/>
          <w:bCs/>
          <w:i/>
          <w:iCs/>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c)</w:t>
      </w:r>
      <w:r>
        <w:rPr>
          <w:rFonts w:ascii="Times New Roman" w:hAnsi="Times New Roman"/>
          <w:b/>
          <w:bCs/>
          <w:sz w:val="24"/>
        </w:rPr>
        <w:t xml:space="preserve"> egyéb lakáscélra használt nem lakáscélú ingatlanok</w:t>
      </w:r>
    </w:p>
    <w:p w:rsidR="00795A46" w:rsidRDefault="00795A46" w:rsidP="00795A46">
      <w:pP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autoSpaceDE w:val="0"/>
        <w:spacing w:after="20"/>
        <w:ind w:firstLine="709"/>
        <w:rPr>
          <w:rFonts w:ascii="Times New Roman" w:hAnsi="Times New Roman"/>
          <w:sz w:val="24"/>
        </w:rPr>
      </w:pPr>
      <w:r>
        <w:rPr>
          <w:rFonts w:ascii="Times New Roman" w:hAnsi="Times New Roman"/>
          <w:sz w:val="24"/>
        </w:rPr>
        <w:t>Az önkormányzatnak nincs tudomása olyan nem lakáscélú ingatlanról, amelyet lakáscélra használnak.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 xml:space="preserve">d) </w:t>
      </w:r>
      <w:r>
        <w:rPr>
          <w:rFonts w:ascii="Times New Roman" w:hAnsi="Times New Roman"/>
          <w:b/>
          <w:bCs/>
          <w:sz w:val="24"/>
        </w:rPr>
        <w:t>elégtelen lakhatási körülmények, veszélyeztetett lakhatási helyzetek, hajléktalanság</w:t>
      </w:r>
    </w:p>
    <w:p w:rsidR="00795A46" w:rsidRDefault="00795A46" w:rsidP="00795A46">
      <w:pPr>
        <w:pStyle w:val="Tblacm"/>
        <w:rPr>
          <w:rFonts w:ascii="Times New Roman" w:hAnsi="Times New Roman"/>
          <w:bCs w:val="0"/>
          <w:sz w:val="24"/>
          <w:szCs w:val="24"/>
        </w:rPr>
      </w:pPr>
    </w:p>
    <w:p w:rsidR="00795A46" w:rsidRDefault="00795A46" w:rsidP="00795A46">
      <w:pPr>
        <w:pStyle w:val="NormlCalibri11"/>
        <w:pBdr>
          <w:top w:val="none" w:sz="0" w:space="0" w:color="auto"/>
          <w:left w:val="none" w:sz="0" w:space="0" w:color="auto"/>
          <w:bottom w:val="none" w:sz="0" w:space="0" w:color="auto"/>
          <w:right w:val="none" w:sz="0" w:space="0" w:color="auto"/>
        </w:pBdr>
        <w:autoSpaceDE w:val="0"/>
        <w:spacing w:after="20"/>
        <w:ind w:left="30" w:firstLine="679"/>
        <w:rPr>
          <w:rFonts w:ascii="Times New Roman" w:hAnsi="Times New Roman"/>
          <w:sz w:val="24"/>
        </w:rPr>
      </w:pPr>
      <w:r>
        <w:rPr>
          <w:rFonts w:ascii="Times New Roman" w:hAnsi="Times New Roman"/>
          <w:sz w:val="24"/>
        </w:rPr>
        <w:t xml:space="preserve">A településen lévő lakások 99 %-a elégséges lakhatási körülményeket biztosít a lakói számára. Az önkormányzat különösen téli időszakban figyelemmel kíséri a veszélyeztetetteket (pl. fagyásveszélynek kitettek), és intézkedik tüzelővel való ellátásukról. </w:t>
      </w:r>
      <w:bookmarkStart w:id="55" w:name="__RefHeading__115_1906745769"/>
      <w:bookmarkEnd w:id="55"/>
    </w:p>
    <w:p w:rsidR="00795A46" w:rsidRDefault="00795A46" w:rsidP="00795A46">
      <w:pPr>
        <w:rPr>
          <w:rFonts w:ascii="Times New Roman" w:hAnsi="Times New Roman"/>
          <w:sz w:val="24"/>
        </w:rPr>
      </w:pPr>
      <w:r>
        <w:rPr>
          <w:rFonts w:ascii="Times New Roman" w:hAnsi="Times New Roman"/>
          <w:sz w:val="24"/>
        </w:rPr>
        <w:t xml:space="preserve">Sajnos vannak olyan családok, egyének, akiknek lakáskörülményei a minimális szintet is alig érik el. A pénztelenség miatt nem tudták kifizetni a számláikat. Van olyan lakás, amelyet már az elektromos energiaellátásból vagy a vezetékes gázellátásból is kikapcsolták, vagy az ivóvíz szolgáltatást korlátozták. Vannak családok, akiknek az alapvető szükségleteik kielégítésére sincs lehetőségük, így az ingatlanok karbantartása sem történik meg, mely azok állagának romlásához vezet. </w:t>
      </w:r>
    </w:p>
    <w:p w:rsidR="00795A46" w:rsidRDefault="00795A46" w:rsidP="00795A46">
      <w:pPr>
        <w:rPr>
          <w:rFonts w:ascii="Times New Roman" w:hAnsi="Times New Roman"/>
          <w:sz w:val="24"/>
          <w:lang w:eastAsia="zh-CN"/>
        </w:rPr>
      </w:pPr>
      <w:r>
        <w:rPr>
          <w:rFonts w:ascii="Times New Roman" w:hAnsi="Times New Roman"/>
          <w:sz w:val="24"/>
          <w:lang w:eastAsia="zh-CN"/>
        </w:rPr>
        <w:t>Az elégtelen lakhatási körülményeket az önkormányzat a lakásfenntartási támogatási rendszerrel igyekszik segíteni.</w:t>
      </w:r>
    </w:p>
    <w:p w:rsidR="00795A46" w:rsidRDefault="00795A46" w:rsidP="00795A46">
      <w:pPr>
        <w:rPr>
          <w:rFonts w:ascii="Times New Roman" w:hAnsi="Times New Roman"/>
          <w:sz w:val="24"/>
        </w:rPr>
      </w:pPr>
      <w:r>
        <w:rPr>
          <w:rFonts w:ascii="Times New Roman" w:hAnsi="Times New Roman"/>
          <w:sz w:val="24"/>
          <w:lang w:eastAsia="zh-CN"/>
        </w:rPr>
        <w:t xml:space="preserve">Hajléktalanság egyébként nem jellemző a településre. </w:t>
      </w:r>
      <w:r>
        <w:rPr>
          <w:rFonts w:ascii="Times New Roman" w:hAnsi="Times New Roman"/>
          <w:sz w:val="24"/>
        </w:rPr>
        <w:t xml:space="preserve">Helyben nem megoldható a hajléktalanok elhelyezése, de a szociális háló segítségével a kistérségen belül megoldható az elhelyezésük, ha felmerül ilyen eset (Orosházi kistérség hajléktalanszállója). A családjukkal együtt lakhatási vagy más krízisbe került és költözni kényszerülő anyákat gyermekeikkel az orosházi Családok Átmeneti Otthonában tudjuk ideiglenesen elszállásolni. </w:t>
      </w:r>
    </w:p>
    <w:p w:rsidR="00795A46" w:rsidRDefault="00795A46" w:rsidP="00795A46">
      <w:pPr>
        <w:autoSpaceDE w:val="0"/>
        <w:spacing w:after="20"/>
        <w:rPr>
          <w:rFonts w:ascii="Times New Roman" w:hAnsi="Times New Roman"/>
          <w:b/>
          <w:bCs/>
          <w:i/>
          <w:iCs/>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e)</w:t>
      </w:r>
      <w:r>
        <w:rPr>
          <w:rFonts w:ascii="Times New Roman" w:hAnsi="Times New Roman"/>
          <w:b/>
          <w:bCs/>
          <w:sz w:val="24"/>
        </w:rPr>
        <w:t xml:space="preserve"> lakhatást segítő támogatások</w:t>
      </w:r>
    </w:p>
    <w:p w:rsidR="00795A46" w:rsidRDefault="00795A46" w:rsidP="00795A46">
      <w:pPr>
        <w:pStyle w:val="Tblacm"/>
        <w:rPr>
          <w:rFonts w:ascii="Times New Roman" w:hAnsi="Times New Roman"/>
          <w:bCs w:val="0"/>
          <w:sz w:val="24"/>
          <w:szCs w:val="24"/>
          <w:shd w:val="clear" w:color="auto" w:fill="00FF00"/>
        </w:rPr>
      </w:pPr>
    </w:p>
    <w:p w:rsidR="00795A46" w:rsidRDefault="00795A46" w:rsidP="00795A46">
      <w:pPr>
        <w:pStyle w:val="Tblacm"/>
        <w:rPr>
          <w:rFonts w:ascii="Times New Roman" w:hAnsi="Times New Roman"/>
          <w:sz w:val="24"/>
          <w:szCs w:val="24"/>
          <w:shd w:val="clear" w:color="auto" w:fill="00FF00"/>
        </w:rPr>
      </w:pPr>
      <w:bookmarkStart w:id="56" w:name="__RefHeading__117_1906745769"/>
      <w:bookmarkEnd w:id="56"/>
      <w:r>
        <w:rPr>
          <w:rFonts w:ascii="Times New Roman" w:hAnsi="Times New Roman"/>
          <w:sz w:val="24"/>
          <w:szCs w:val="24"/>
          <w:shd w:val="clear" w:color="auto" w:fill="00FF00"/>
        </w:rPr>
        <w:t>3.4.3. számú táblázat – Lakhatást segítő támogatások</w:t>
      </w:r>
    </w:p>
    <w:p w:rsidR="00795A46" w:rsidRDefault="00795A46" w:rsidP="00795A46">
      <w:pPr>
        <w:pStyle w:val="Tblacm"/>
        <w:jc w:val="center"/>
        <w:rPr>
          <w:rFonts w:ascii="Times New Roman" w:hAnsi="Times New Roman"/>
          <w:sz w:val="24"/>
          <w:szCs w:val="24"/>
          <w:shd w:val="clear" w:color="auto" w:fill="00FF00"/>
        </w:rPr>
      </w:pPr>
    </w:p>
    <w:tbl>
      <w:tblPr>
        <w:tblW w:w="6300" w:type="dxa"/>
        <w:tblInd w:w="2" w:type="dxa"/>
        <w:tblCellMar>
          <w:left w:w="70" w:type="dxa"/>
          <w:right w:w="70" w:type="dxa"/>
        </w:tblCellMar>
        <w:tblLook w:val="00A0" w:firstRow="1" w:lastRow="0" w:firstColumn="1" w:lastColumn="0" w:noHBand="0" w:noVBand="0"/>
      </w:tblPr>
      <w:tblGrid>
        <w:gridCol w:w="1340"/>
        <w:gridCol w:w="2400"/>
        <w:gridCol w:w="2560"/>
      </w:tblGrid>
      <w:tr w:rsidR="00795A46" w:rsidTr="00795A46">
        <w:trPr>
          <w:trHeight w:val="2160"/>
        </w:trPr>
        <w:tc>
          <w:tcPr>
            <w:tcW w:w="1340" w:type="dxa"/>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rsidR="00795A46" w:rsidRDefault="00795A46">
            <w:pPr>
              <w:suppressAutoHyphens w:val="0"/>
              <w:jc w:val="center"/>
              <w:rPr>
                <w:rFonts w:cs="Calibri"/>
                <w:b/>
                <w:bCs/>
                <w:szCs w:val="22"/>
                <w:lang w:eastAsia="hu-HU"/>
              </w:rPr>
            </w:pPr>
            <w:r>
              <w:rPr>
                <w:b/>
                <w:bCs/>
                <w:lang w:eastAsia="hu-HU"/>
              </w:rPr>
              <w:t>Év</w:t>
            </w:r>
          </w:p>
        </w:tc>
        <w:tc>
          <w:tcPr>
            <w:tcW w:w="240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Települési támogatásban részesítettek száma</w:t>
            </w:r>
            <w:r>
              <w:rPr>
                <w:b/>
                <w:bCs/>
                <w:lang w:eastAsia="hu-HU"/>
              </w:rPr>
              <w:br/>
              <w:t>(pénzbeli és természetbeni)</w:t>
            </w:r>
            <w:r>
              <w:rPr>
                <w:b/>
                <w:bCs/>
                <w:lang w:eastAsia="hu-HU"/>
              </w:rPr>
              <w:br/>
            </w:r>
            <w:r>
              <w:rPr>
                <w:lang w:eastAsia="hu-HU"/>
              </w:rPr>
              <w:t>(TS 136)</w:t>
            </w:r>
          </w:p>
        </w:tc>
        <w:tc>
          <w:tcPr>
            <w:tcW w:w="256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Egyéb önkormányzati támogatásban </w:t>
            </w:r>
            <w:r>
              <w:rPr>
                <w:b/>
                <w:bCs/>
                <w:lang w:eastAsia="hu-HU"/>
              </w:rPr>
              <w:br/>
              <w:t>részesítettek száma</w:t>
            </w:r>
            <w:r>
              <w:rPr>
                <w:b/>
                <w:bCs/>
                <w:lang w:eastAsia="hu-HU"/>
              </w:rPr>
              <w:br/>
            </w:r>
            <w:r>
              <w:rPr>
                <w:lang w:eastAsia="hu-HU"/>
              </w:rPr>
              <w:t>(TS 137)</w:t>
            </w:r>
          </w:p>
        </w:tc>
      </w:tr>
      <w:tr w:rsidR="00795A46" w:rsidTr="00795A46">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240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c>
          <w:tcPr>
            <w:tcW w:w="256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r>
      <w:tr w:rsidR="00795A46" w:rsidTr="00795A46">
        <w:trPr>
          <w:trHeight w:val="420"/>
        </w:trPr>
        <w:tc>
          <w:tcPr>
            <w:tcW w:w="13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24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2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r w:rsidR="00795A46" w:rsidTr="00795A46">
        <w:trPr>
          <w:trHeight w:val="300"/>
        </w:trPr>
        <w:tc>
          <w:tcPr>
            <w:tcW w:w="13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24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2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r w:rsidR="00795A46" w:rsidTr="00795A46">
        <w:trPr>
          <w:trHeight w:val="300"/>
        </w:trPr>
        <w:tc>
          <w:tcPr>
            <w:tcW w:w="13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24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1020</w:t>
            </w:r>
          </w:p>
        </w:tc>
        <w:tc>
          <w:tcPr>
            <w:tcW w:w="2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6</w:t>
            </w:r>
          </w:p>
        </w:tc>
      </w:tr>
      <w:tr w:rsidR="00795A46" w:rsidTr="00795A46">
        <w:trPr>
          <w:trHeight w:val="300"/>
        </w:trPr>
        <w:tc>
          <w:tcPr>
            <w:tcW w:w="13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24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875</w:t>
            </w:r>
          </w:p>
        </w:tc>
        <w:tc>
          <w:tcPr>
            <w:tcW w:w="2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6</w:t>
            </w:r>
          </w:p>
        </w:tc>
      </w:tr>
      <w:tr w:rsidR="00795A46" w:rsidTr="00795A46">
        <w:trPr>
          <w:trHeight w:val="300"/>
        </w:trPr>
        <w:tc>
          <w:tcPr>
            <w:tcW w:w="13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24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953</w:t>
            </w:r>
          </w:p>
        </w:tc>
        <w:tc>
          <w:tcPr>
            <w:tcW w:w="2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w:t>
            </w:r>
          </w:p>
        </w:tc>
      </w:tr>
      <w:tr w:rsidR="00795A46" w:rsidTr="00795A46">
        <w:trPr>
          <w:trHeight w:val="300"/>
        </w:trPr>
        <w:tc>
          <w:tcPr>
            <w:tcW w:w="13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24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2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bl>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Forrás: TeIR, KSH-TSTAR</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noProof/>
          <w:lang w:eastAsia="hu-HU"/>
        </w:rPr>
        <w:drawing>
          <wp:inline distT="0" distB="0" distL="0" distR="0" wp14:anchorId="13FDCBF9" wp14:editId="0A86C064">
            <wp:extent cx="3952875" cy="3019425"/>
            <wp:effectExtent l="0" t="0" r="9525" b="9525"/>
            <wp:docPr id="14" name="Diagram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95A46" w:rsidRDefault="00795A46" w:rsidP="00795A46">
      <w:pPr>
        <w:rPr>
          <w:rFonts w:ascii="Times New Roman" w:hAnsi="Times New Roman"/>
          <w:sz w:val="24"/>
        </w:rPr>
      </w:pPr>
    </w:p>
    <w:p w:rsidR="00795A46" w:rsidRDefault="00795A46" w:rsidP="00795A46">
      <w:pPr>
        <w:ind w:firstLine="426"/>
        <w:rPr>
          <w:rFonts w:ascii="Times New Roman" w:hAnsi="Times New Roman"/>
          <w:color w:val="000000"/>
          <w:sz w:val="24"/>
        </w:rPr>
      </w:pPr>
      <w:r>
        <w:rPr>
          <w:rFonts w:ascii="Times New Roman" w:hAnsi="Times New Roman"/>
          <w:sz w:val="24"/>
        </w:rPr>
        <w:t>A településen – lakhatásuk javításához való hozzájárulásként - a következő rendszeres szociális ellátásokban részesülhetnek a rászorulók: települési támogatás lakhatásra, települési támogatás szemétszállításra.</w:t>
      </w:r>
      <w:r>
        <w:rPr>
          <w:rFonts w:ascii="Times New Roman" w:hAnsi="Times New Roman"/>
          <w:color w:val="FF0000"/>
          <w:sz w:val="24"/>
        </w:rPr>
        <w:t xml:space="preserve"> </w:t>
      </w:r>
      <w:r>
        <w:rPr>
          <w:rFonts w:ascii="Times New Roman" w:hAnsi="Times New Roman"/>
          <w:sz w:val="24"/>
        </w:rPr>
        <w:t xml:space="preserve">Az előbbi segélyre jogosultak háromféle közszolgáltatónál vezetett tartozás-egyenlegéhez járul hozzá egyénenként különböző pénzösszeggel az önkormányzat: az áramszolgáltatónál, a földgázszolgáltatónál és az ivóvíz- és csatornahálózati szolgáltatónál vezetett számlán jelentkező tartozást jogosultanként 5-10.000 Ft közötti havi összeggel támogatjuk a megállapítástól számított 12 hónapon át. Ez utóbbi segélytípust 2017-ben vezette be Csorvás Város Képviselő-testülete a 70 év feletti, szociálisan rászoruló lakosok támogatása céljából. Azok helyett, akik erre a támogatásra jogosultak, 12 hónap időtartamig az önkormányzat egyenlíti ki a hulladékgazdálkodási közszolgáltató felé fennálló tartozásuk 100 %-át, tehát kifizeti a szemétszállítási számlájuk teljes összegét.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i/>
          <w:iCs/>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rPr>
        <w:t>A település önkormányzata igyekszik gondoskodni azokról a fiatalokról, akik első lakásukhoz szeretnének hozzájutni városunkban: ők letelepedésükhöz igényelhetik a támogatást, és a képviselő-testület által megállapított egy összegű, kamatmentes kölcsön formájában juthatnak hozzá.</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f)</w:t>
      </w:r>
      <w:r>
        <w:rPr>
          <w:rFonts w:ascii="Times New Roman" w:hAnsi="Times New Roman"/>
          <w:b/>
          <w:bCs/>
          <w:sz w:val="24"/>
        </w:rPr>
        <w:t xml:space="preserve"> eladósodottság</w:t>
      </w:r>
    </w:p>
    <w:p w:rsidR="00795A46" w:rsidRDefault="00795A46" w:rsidP="00795A46">
      <w:pPr>
        <w:rPr>
          <w:rFonts w:ascii="Times New Roman" w:hAnsi="Times New Roman"/>
          <w:sz w:val="24"/>
        </w:rPr>
      </w:pPr>
    </w:p>
    <w:p w:rsidR="00795A46" w:rsidRDefault="00795A46" w:rsidP="00795A46">
      <w:pPr>
        <w:ind w:firstLine="426"/>
        <w:rPr>
          <w:rFonts w:ascii="Times New Roman" w:hAnsi="Times New Roman"/>
          <w:color w:val="000000"/>
          <w:sz w:val="24"/>
        </w:rPr>
      </w:pPr>
      <w:r>
        <w:rPr>
          <w:rFonts w:ascii="Times New Roman" w:hAnsi="Times New Roman"/>
          <w:sz w:val="24"/>
        </w:rPr>
        <w:t>Komoly problémát jelent napjainkban is az eladósodás, különösen a hátrányos helyzetű, munkájukat elveszítő, vagy alacsony jövedelmű idős, vagy több gyermekes családok esetében. Ez a réteg veszítheti el a lakását, válhat hajléktalanná leginkább, vagy náluk kapcsolják ki fizetés hiányában a közszolgáltatásokat</w:t>
      </w:r>
      <w:r>
        <w:rPr>
          <w:rFonts w:ascii="Times New Roman" w:hAnsi="Times New Roman"/>
          <w:color w:val="000000"/>
          <w:sz w:val="24"/>
        </w:rPr>
        <w:t>.</w:t>
      </w:r>
      <w:r>
        <w:rPr>
          <w:rFonts w:ascii="Times New Roman" w:hAnsi="Times New Roman"/>
          <w:i/>
          <w:iCs/>
          <w:color w:val="000000"/>
          <w:sz w:val="24"/>
        </w:rPr>
        <w:t xml:space="preserve"> </w:t>
      </w:r>
      <w:r>
        <w:rPr>
          <w:rFonts w:ascii="Times New Roman" w:hAnsi="Times New Roman"/>
          <w:color w:val="000000"/>
          <w:sz w:val="24"/>
        </w:rPr>
        <w:t xml:space="preserve">Az elmúlt évtizedben jelentősen megnövekedett az eladósodott családok száma, s ez a célcsoport vált leginkább veszélyeztetetté a lakásuk elvesztése, a hajléktalanná válás, vagy fizetés hiányában a közműszolgáltatások kikapcsolása miatt.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g)</w:t>
      </w:r>
      <w:r>
        <w:rPr>
          <w:rFonts w:ascii="Times New Roman" w:hAnsi="Times New Roman"/>
          <w:b/>
          <w:bCs/>
          <w:sz w:val="24"/>
        </w:rPr>
        <w:t xml:space="preserve"> lakhatás egyéb jellemzői: külterületeken és nem lakóövezetben elhelyezkedő lakások, minőségi közszolgáltatásokhoz, közműszolgáltatásokhoz, közösségi közlekedéshez való hozzáférés bemutatása</w:t>
      </w:r>
    </w:p>
    <w:p w:rsidR="00795A46" w:rsidRDefault="00795A46" w:rsidP="00795A46">
      <w:pPr>
        <w:rPr>
          <w:rFonts w:ascii="Times New Roman" w:hAnsi="Times New Roman"/>
          <w:sz w:val="24"/>
        </w:rPr>
      </w:pPr>
    </w:p>
    <w:p w:rsidR="00795A46" w:rsidRDefault="00795A46" w:rsidP="00795A46">
      <w:pPr>
        <w:ind w:firstLine="426"/>
        <w:rPr>
          <w:rFonts w:ascii="Times New Roman" w:hAnsi="Times New Roman"/>
          <w:sz w:val="24"/>
        </w:rPr>
      </w:pPr>
      <w:r>
        <w:rPr>
          <w:rFonts w:ascii="Times New Roman" w:hAnsi="Times New Roman"/>
          <w:sz w:val="24"/>
        </w:rPr>
        <w:t xml:space="preserve">Tanyán élő lakosság száma elenyésző. </w:t>
      </w:r>
      <w:r>
        <w:rPr>
          <w:rFonts w:ascii="Times New Roman" w:hAnsi="Times New Roman"/>
          <w:color w:val="000000"/>
          <w:sz w:val="24"/>
        </w:rPr>
        <w:t>Kb. 20-25 tanyában élnek a település külterületén elszórtan, 10 lakásban pedig a belterülettől néhány km-re lévő tanyaközpontban. Egy-egy tanyában általában 1-2 fő él.</w:t>
      </w:r>
      <w:r>
        <w:rPr>
          <w:rFonts w:ascii="Times New Roman" w:hAnsi="Times New Roman"/>
          <w:sz w:val="24"/>
        </w:rPr>
        <w:t xml:space="preserve"> A közelmúltban épített tanyák már olyan területen épültek, ahol minden közmű, de legalább a víz és elektromos energia a rendelkezésre áll. A régebbi építésű, idősek által lakott tanyák közmű ellátottsága hiányosabb, ám a villamosenergia-ellátás szinte minden tanyában biztosított. Egy korábbi nyilvántartásunkban már kimutattuk, hogy hat lakott tanya kivételével a legtöbb tanya szilárd burkolattal ellátott út menetén található, így a fő közlekedési utak az ott élők számára is elérhetők. De a közlekedés a tanyákról inkább csak saját járművekkel – kerékpárral vagy autóval – oldható meg.</w:t>
      </w:r>
    </w:p>
    <w:p w:rsidR="00795A46" w:rsidRDefault="00795A46" w:rsidP="00795A46">
      <w:pPr>
        <w:autoSpaceDE w:val="0"/>
        <w:spacing w:after="20"/>
        <w:ind w:firstLine="142"/>
        <w:rPr>
          <w:rFonts w:ascii="Times New Roman" w:hAnsi="Times New Roman"/>
          <w:b/>
          <w:bCs/>
          <w:sz w:val="24"/>
        </w:rPr>
      </w:pPr>
    </w:p>
    <w:p w:rsidR="00795A46" w:rsidRDefault="00795A46" w:rsidP="00795A46">
      <w:pPr>
        <w:autoSpaceDE w:val="0"/>
        <w:spacing w:after="20"/>
        <w:ind w:firstLine="142"/>
        <w:rPr>
          <w:rFonts w:ascii="Times New Roman" w:hAnsi="Times New Roman"/>
          <w:b/>
          <w:bCs/>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sz w:val="24"/>
        </w:rPr>
        <w:t>3.5 Telepek, szegregátumok helyzete</w:t>
      </w:r>
    </w:p>
    <w:p w:rsidR="00795A46" w:rsidRDefault="00795A46" w:rsidP="00795A46">
      <w:pPr>
        <w:pStyle w:val="Tblacm"/>
        <w:keepNext w:val="0"/>
        <w:rPr>
          <w:rFonts w:ascii="Times New Roman" w:hAnsi="Times New Roman"/>
          <w:bCs w:val="0"/>
          <w:sz w:val="24"/>
          <w:szCs w:val="24"/>
        </w:rPr>
      </w:pPr>
    </w:p>
    <w:p w:rsidR="00795A46" w:rsidRDefault="00795A46" w:rsidP="00795A46">
      <w:pPr>
        <w:pStyle w:val="Tblacm"/>
        <w:keepNext w:val="0"/>
        <w:tabs>
          <w:tab w:val="left" w:pos="426"/>
        </w:tabs>
        <w:rPr>
          <w:rFonts w:ascii="Times New Roman" w:hAnsi="Times New Roman"/>
          <w:sz w:val="24"/>
          <w:szCs w:val="24"/>
        </w:rPr>
      </w:pPr>
      <w:r>
        <w:rPr>
          <w:rFonts w:ascii="Times New Roman" w:hAnsi="Times New Roman"/>
          <w:sz w:val="24"/>
          <w:szCs w:val="24"/>
        </w:rPr>
        <w:tab/>
        <w:t>Szegregátum, illetve szegregációval veszélyeztetett lakókörnyezet nincs a településen.</w:t>
      </w:r>
    </w:p>
    <w:p w:rsidR="00795A46" w:rsidRDefault="00795A46" w:rsidP="00795A46">
      <w:pPr>
        <w:pStyle w:val="Tblacm"/>
        <w:keepNext w:val="0"/>
        <w:rPr>
          <w:rFonts w:ascii="Times New Roman" w:hAnsi="Times New Roman"/>
        </w:rPr>
      </w:pPr>
      <w:bookmarkStart w:id="57" w:name="__RefHeading__119_1906745769"/>
      <w:bookmarkEnd w:id="57"/>
    </w:p>
    <w:p w:rsidR="00795A46" w:rsidRDefault="00795A46" w:rsidP="00795A46">
      <w:pPr>
        <w:pStyle w:val="Tblacm"/>
        <w:keepNext w:val="0"/>
        <w:rPr>
          <w:rFonts w:ascii="Times New Roman" w:hAnsi="Times New Roman"/>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sz w:val="24"/>
        </w:rPr>
        <w:t xml:space="preserve">3.6 Egészségügyi és szociális szolgáltatásokhoz való hozzáférés  </w:t>
      </w:r>
    </w:p>
    <w:p w:rsidR="00795A46" w:rsidRDefault="00795A46" w:rsidP="00795A46">
      <w:pPr>
        <w:pStyle w:val="NormlWeb"/>
        <w:spacing w:before="0" w:after="0"/>
        <w:rPr>
          <w:rFonts w:ascii="Times New Roman" w:hAnsi="Times New Roman" w:cs="Times New Roman"/>
          <w:sz w:val="24"/>
          <w:szCs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a)</w:t>
      </w:r>
      <w:r>
        <w:rPr>
          <w:rFonts w:ascii="Times New Roman" w:hAnsi="Times New Roman"/>
          <w:b/>
          <w:bCs/>
          <w:sz w:val="24"/>
        </w:rPr>
        <w:t xml:space="preserve"> az egészségügyi alapszolgáltatásokhoz, szakellátáshoz való hozzáférés</w:t>
      </w:r>
    </w:p>
    <w:p w:rsidR="00795A46" w:rsidRDefault="00795A46" w:rsidP="00795A46">
      <w:pPr>
        <w:pStyle w:val="NormlWeb"/>
        <w:spacing w:before="0" w:after="0"/>
        <w:rPr>
          <w:rFonts w:ascii="Times New Roman" w:hAnsi="Times New Roman" w:cs="Times New Roman"/>
          <w:sz w:val="24"/>
          <w:szCs w:val="24"/>
        </w:rPr>
      </w:pPr>
    </w:p>
    <w:p w:rsidR="00795A46" w:rsidRDefault="00795A46" w:rsidP="00795A46">
      <w:pPr>
        <w:pStyle w:val="NormlWeb"/>
        <w:spacing w:before="0" w:after="0"/>
        <w:ind w:firstLine="142"/>
        <w:rPr>
          <w:rFonts w:ascii="Times New Roman" w:hAnsi="Times New Roman" w:cs="Times New Roman"/>
          <w:sz w:val="24"/>
          <w:szCs w:val="24"/>
        </w:rPr>
      </w:pPr>
      <w:r>
        <w:rPr>
          <w:rFonts w:ascii="Times New Roman" w:hAnsi="Times New Roman" w:cs="Times New Roman"/>
          <w:sz w:val="24"/>
          <w:szCs w:val="24"/>
        </w:rPr>
        <w:t xml:space="preserve">E fejezet jogszabályi környezetét az alábbiakban foglaljuk össze. Elsőként kiemeljük az </w:t>
      </w:r>
      <w:r>
        <w:rPr>
          <w:rFonts w:ascii="Times New Roman" w:hAnsi="Times New Roman" w:cs="Times New Roman"/>
          <w:color w:val="000000"/>
          <w:sz w:val="24"/>
          <w:szCs w:val="24"/>
        </w:rPr>
        <w:t>egészségügyi alapellátásról szóló 2015. évi CXXIII. törvényt, mely</w:t>
      </w:r>
      <w:r>
        <w:rPr>
          <w:rFonts w:ascii="Times New Roman" w:hAnsi="Times New Roman" w:cs="Times New Roman"/>
          <w:sz w:val="24"/>
          <w:szCs w:val="24"/>
        </w:rPr>
        <w:t xml:space="preserve"> előírja, hogy a települési önkormányzat az egészségügyi alapellátás körében gondoskodik, ennek megfelelően településünkön az alábbi egészségügyi szolgáltatások érhetők el:</w:t>
      </w:r>
    </w:p>
    <w:p w:rsidR="00795A46" w:rsidRDefault="00795A46" w:rsidP="00795A46">
      <w:pPr>
        <w:pStyle w:val="NormlWeb"/>
        <w:spacing w:before="0" w:after="0"/>
        <w:ind w:left="540"/>
        <w:rPr>
          <w:rFonts w:ascii="Times New Roman" w:hAnsi="Times New Roman" w:cs="Times New Roman"/>
          <w:sz w:val="24"/>
          <w:szCs w:val="24"/>
        </w:rPr>
      </w:pPr>
      <w:r>
        <w:rPr>
          <w:rFonts w:ascii="Times New Roman" w:hAnsi="Times New Roman" w:cs="Times New Roman"/>
          <w:sz w:val="24"/>
          <w:szCs w:val="24"/>
        </w:rPr>
        <w:t>a) a háziorvosi, házi gyermekorvosi ellátás,</w:t>
      </w:r>
    </w:p>
    <w:p w:rsidR="00795A46" w:rsidRDefault="00795A46" w:rsidP="00795A46">
      <w:pPr>
        <w:pStyle w:val="NormlWeb"/>
        <w:spacing w:before="0" w:after="0"/>
        <w:ind w:left="540"/>
        <w:rPr>
          <w:rFonts w:ascii="Times New Roman" w:hAnsi="Times New Roman" w:cs="Times New Roman"/>
          <w:sz w:val="24"/>
          <w:szCs w:val="24"/>
        </w:rPr>
      </w:pPr>
      <w:r>
        <w:rPr>
          <w:rFonts w:ascii="Times New Roman" w:hAnsi="Times New Roman" w:cs="Times New Roman"/>
          <w:sz w:val="24"/>
          <w:szCs w:val="24"/>
        </w:rPr>
        <w:t>b) a fogorvosi alapellátás,</w:t>
      </w:r>
    </w:p>
    <w:p w:rsidR="00795A46" w:rsidRDefault="00795A46" w:rsidP="00795A46">
      <w:pPr>
        <w:pStyle w:val="NormlWeb"/>
        <w:spacing w:before="0" w:after="0"/>
        <w:ind w:left="540"/>
        <w:rPr>
          <w:rFonts w:ascii="Times New Roman" w:hAnsi="Times New Roman" w:cs="Times New Roman"/>
          <w:sz w:val="24"/>
          <w:szCs w:val="24"/>
        </w:rPr>
      </w:pPr>
      <w:r>
        <w:rPr>
          <w:rFonts w:ascii="Times New Roman" w:hAnsi="Times New Roman" w:cs="Times New Roman"/>
          <w:sz w:val="24"/>
          <w:szCs w:val="24"/>
        </w:rPr>
        <w:t>c) az alapellátáshoz kapcsolódó ügyeleti ellátás, (Kistérségi szinten, Orosházán működik)</w:t>
      </w:r>
    </w:p>
    <w:p w:rsidR="00795A46" w:rsidRDefault="00795A46" w:rsidP="00795A46">
      <w:pPr>
        <w:pStyle w:val="NormlWeb"/>
        <w:spacing w:before="0" w:after="0"/>
        <w:ind w:left="540"/>
        <w:rPr>
          <w:rFonts w:ascii="Times New Roman" w:hAnsi="Times New Roman" w:cs="Times New Roman"/>
          <w:sz w:val="24"/>
          <w:szCs w:val="24"/>
        </w:rPr>
      </w:pPr>
      <w:r>
        <w:rPr>
          <w:rFonts w:ascii="Times New Roman" w:hAnsi="Times New Roman" w:cs="Times New Roman"/>
          <w:sz w:val="24"/>
          <w:szCs w:val="24"/>
        </w:rPr>
        <w:t>d) a védőnői ellátás,</w:t>
      </w:r>
    </w:p>
    <w:p w:rsidR="00795A46" w:rsidRDefault="00795A46" w:rsidP="00795A46">
      <w:pPr>
        <w:pStyle w:val="NormlWeb"/>
        <w:spacing w:before="0" w:after="0"/>
        <w:ind w:left="540"/>
        <w:rPr>
          <w:rFonts w:ascii="Times New Roman" w:hAnsi="Times New Roman" w:cs="Times New Roman"/>
          <w:sz w:val="24"/>
          <w:szCs w:val="24"/>
        </w:rPr>
      </w:pPr>
      <w:r>
        <w:rPr>
          <w:rFonts w:ascii="Times New Roman" w:hAnsi="Times New Roman" w:cs="Times New Roman"/>
          <w:sz w:val="24"/>
          <w:szCs w:val="24"/>
        </w:rPr>
        <w:t>e) az iskola-egészségügyi ellátás.</w:t>
      </w:r>
    </w:p>
    <w:p w:rsidR="00795A46" w:rsidRDefault="00795A46" w:rsidP="00795A46">
      <w:pPr>
        <w:pStyle w:val="NormlWeb"/>
        <w:spacing w:before="0" w:after="0"/>
        <w:ind w:left="540"/>
        <w:rPr>
          <w:rFonts w:ascii="Times New Roman" w:hAnsi="Times New Roman" w:cs="Times New Roman"/>
          <w:sz w:val="24"/>
          <w:szCs w:val="24"/>
        </w:rPr>
      </w:pPr>
    </w:p>
    <w:p w:rsidR="00795A46" w:rsidRDefault="00795A46" w:rsidP="00795A46">
      <w:pPr>
        <w:pStyle w:val="NormlWeb"/>
        <w:spacing w:before="0" w:after="0"/>
        <w:rPr>
          <w:rFonts w:ascii="Times New Roman" w:hAnsi="Times New Roman" w:cs="Times New Roman"/>
          <w:sz w:val="24"/>
          <w:szCs w:val="24"/>
        </w:rPr>
      </w:pPr>
      <w:r>
        <w:rPr>
          <w:rFonts w:ascii="Times New Roman" w:hAnsi="Times New Roman" w:cs="Times New Roman"/>
          <w:color w:val="000000"/>
          <w:sz w:val="24"/>
          <w:szCs w:val="24"/>
        </w:rPr>
        <w:t xml:space="preserve">Az egészségügyről szóló 1997. évi CLIV. törvény szerint </w:t>
      </w:r>
      <w:r>
        <w:rPr>
          <w:rFonts w:ascii="Times New Roman" w:hAnsi="Times New Roman" w:cs="Times New Roman"/>
          <w:sz w:val="24"/>
          <w:szCs w:val="24"/>
        </w:rPr>
        <w:t xml:space="preserve">a települési önkormányzat a környezet- és település-egészségügyi feladatok körében gondoskodik </w:t>
      </w:r>
    </w:p>
    <w:p w:rsidR="00795A46" w:rsidRDefault="00795A46" w:rsidP="00795A46">
      <w:pPr>
        <w:pStyle w:val="NormlWeb"/>
        <w:numPr>
          <w:ilvl w:val="0"/>
          <w:numId w:val="13"/>
        </w:numPr>
        <w:tabs>
          <w:tab w:val="left" w:pos="851"/>
        </w:tabs>
        <w:spacing w:before="0" w:after="0"/>
        <w:ind w:left="851"/>
        <w:rPr>
          <w:rFonts w:ascii="Times New Roman" w:hAnsi="Times New Roman" w:cs="Times New Roman"/>
          <w:sz w:val="24"/>
          <w:szCs w:val="24"/>
        </w:rPr>
      </w:pPr>
      <w:r>
        <w:rPr>
          <w:rFonts w:ascii="Times New Roman" w:hAnsi="Times New Roman" w:cs="Times New Roman"/>
          <w:sz w:val="24"/>
          <w:szCs w:val="24"/>
        </w:rPr>
        <w:t>a köztisztasági és településtisztasági feladatok ellátásáról,</w:t>
      </w:r>
    </w:p>
    <w:p w:rsidR="00795A46" w:rsidRDefault="00795A46" w:rsidP="00795A46">
      <w:pPr>
        <w:pStyle w:val="NormlWeb"/>
        <w:numPr>
          <w:ilvl w:val="0"/>
          <w:numId w:val="13"/>
        </w:numPr>
        <w:tabs>
          <w:tab w:val="left" w:pos="851"/>
        </w:tabs>
        <w:spacing w:before="0" w:after="0"/>
        <w:ind w:left="851"/>
        <w:rPr>
          <w:rFonts w:ascii="Times New Roman" w:hAnsi="Times New Roman" w:cs="Times New Roman"/>
          <w:sz w:val="24"/>
          <w:szCs w:val="24"/>
        </w:rPr>
      </w:pPr>
      <w:r>
        <w:rPr>
          <w:rFonts w:ascii="Times New Roman" w:hAnsi="Times New Roman" w:cs="Times New Roman"/>
          <w:sz w:val="24"/>
          <w:szCs w:val="24"/>
        </w:rPr>
        <w:t xml:space="preserve">biztosítja a rovarok és rágcsálók irtását, </w:t>
      </w:r>
    </w:p>
    <w:p w:rsidR="00795A46" w:rsidRDefault="00795A46" w:rsidP="00795A46">
      <w:pPr>
        <w:pStyle w:val="NormlWeb"/>
        <w:numPr>
          <w:ilvl w:val="0"/>
          <w:numId w:val="13"/>
        </w:numPr>
        <w:tabs>
          <w:tab w:val="left" w:pos="851"/>
        </w:tabs>
        <w:spacing w:before="0" w:after="0"/>
        <w:ind w:left="851"/>
        <w:rPr>
          <w:rFonts w:ascii="Times New Roman" w:hAnsi="Times New Roman" w:cs="Times New Roman"/>
          <w:sz w:val="24"/>
          <w:szCs w:val="24"/>
        </w:rPr>
      </w:pPr>
      <w:r>
        <w:rPr>
          <w:rFonts w:ascii="Times New Roman" w:hAnsi="Times New Roman" w:cs="Times New Roman"/>
          <w:sz w:val="24"/>
          <w:szCs w:val="24"/>
        </w:rPr>
        <w:t>folyamatosan figyelemmel kíséri a település környezet-egészségügyi helyzetének alakulását és ennek esetleges romlása esetén – lehetőségeihez képest – saját hatáskörben intézkedik, vagy a hatáskörrel rendelkező és illetékes hatóságnál kezdeményezi a szükséges intézkedések meghozatalát,</w:t>
      </w:r>
    </w:p>
    <w:p w:rsidR="00795A46" w:rsidRDefault="00795A46" w:rsidP="00795A46">
      <w:pPr>
        <w:pStyle w:val="NormlWeb"/>
        <w:numPr>
          <w:ilvl w:val="0"/>
          <w:numId w:val="13"/>
        </w:numPr>
        <w:tabs>
          <w:tab w:val="left" w:pos="851"/>
        </w:tabs>
        <w:spacing w:before="0" w:after="0"/>
        <w:ind w:left="851"/>
        <w:rPr>
          <w:rFonts w:ascii="Times New Roman" w:hAnsi="Times New Roman" w:cs="Times New Roman"/>
          <w:sz w:val="24"/>
          <w:szCs w:val="24"/>
        </w:rPr>
      </w:pPr>
      <w:r>
        <w:rPr>
          <w:rFonts w:ascii="Times New Roman" w:hAnsi="Times New Roman" w:cs="Times New Roman"/>
          <w:sz w:val="24"/>
          <w:szCs w:val="24"/>
        </w:rPr>
        <w:t>együttműködik a lakosságra, közösségekre, családi, munkahelyi, iskolai színterekre irányuló egészségfejlesztési tevékenységekben, valamint támogatja és aktívan kezdeményezi ezeket.</w:t>
      </w:r>
    </w:p>
    <w:p w:rsidR="00795A46" w:rsidRDefault="00795A46" w:rsidP="00795A46">
      <w:pPr>
        <w:pStyle w:val="NormlWeb"/>
        <w:tabs>
          <w:tab w:val="left" w:pos="851"/>
        </w:tabs>
        <w:spacing w:before="0" w:after="0"/>
        <w:ind w:left="851"/>
        <w:rPr>
          <w:rFonts w:ascii="Times New Roman" w:hAnsi="Times New Roman" w:cs="Times New Roman"/>
          <w:sz w:val="24"/>
          <w:szCs w:val="24"/>
        </w:rPr>
      </w:pPr>
    </w:p>
    <w:p w:rsidR="00795A46" w:rsidRDefault="00795A46" w:rsidP="00795A46">
      <w:pPr>
        <w:pStyle w:val="NormlWeb"/>
        <w:spacing w:before="0" w:after="0"/>
        <w:rPr>
          <w:rFonts w:ascii="Times New Roman" w:hAnsi="Times New Roman" w:cs="Times New Roman"/>
          <w:sz w:val="24"/>
          <w:szCs w:val="24"/>
        </w:rPr>
      </w:pPr>
      <w:r>
        <w:rPr>
          <w:rFonts w:ascii="Times New Roman" w:hAnsi="Times New Roman" w:cs="Times New Roman"/>
          <w:sz w:val="24"/>
          <w:szCs w:val="24"/>
        </w:rPr>
        <w:t>A szociálisan rászorultak részére személyes gondoskodást az állam, valamint az önkormányzatok biztosítják. A Szt. értelmében a személyes gondoskodás magában foglalja a szociális alapszolgáltatásokat és szakosított ellátásokat.</w:t>
      </w:r>
    </w:p>
    <w:p w:rsidR="00795A46" w:rsidRDefault="00795A46" w:rsidP="00795A46">
      <w:pPr>
        <w:rPr>
          <w:rFonts w:ascii="Times New Roman" w:hAnsi="Times New Roman"/>
          <w:i/>
          <w:iCs/>
          <w:sz w:val="24"/>
        </w:rPr>
      </w:pPr>
    </w:p>
    <w:p w:rsidR="00795A46" w:rsidRDefault="00795A46" w:rsidP="00795A46">
      <w:pPr>
        <w:rPr>
          <w:rFonts w:ascii="Times New Roman" w:hAnsi="Times New Roman"/>
          <w:sz w:val="24"/>
        </w:rPr>
      </w:pPr>
      <w:r>
        <w:rPr>
          <w:rFonts w:ascii="Times New Roman" w:hAnsi="Times New Roman"/>
          <w:sz w:val="24"/>
        </w:rPr>
        <w:t>Csorváson elérhető szociális alapszolgáltatások: étkeztetés, házi segítségnyújtás, családsegítés, jelzőrendszeres házi segítségnyújtás, nappali ellátás.</w:t>
      </w:r>
    </w:p>
    <w:p w:rsidR="00795A46" w:rsidRDefault="00795A46" w:rsidP="00795A46">
      <w:pPr>
        <w:rPr>
          <w:rFonts w:ascii="Times New Roman" w:hAnsi="Times New Roman"/>
          <w:sz w:val="24"/>
        </w:rPr>
      </w:pPr>
      <w:r>
        <w:rPr>
          <w:rFonts w:ascii="Times New Roman" w:hAnsi="Times New Roman"/>
          <w:sz w:val="24"/>
        </w:rPr>
        <w:t>Személyes gondoskodás körébe tartozó szakosított ellátások: az ápolást, gondozást nyújtó intézmény, a lakóotthon.</w:t>
      </w:r>
    </w:p>
    <w:p w:rsidR="00795A46" w:rsidRDefault="00795A46" w:rsidP="00795A46">
      <w:pPr>
        <w:autoSpaceDE w:val="0"/>
        <w:rPr>
          <w:rFonts w:ascii="Times New Roman" w:hAnsi="Times New Roman"/>
          <w:sz w:val="24"/>
        </w:rPr>
      </w:pPr>
      <w:r>
        <w:rPr>
          <w:rFonts w:ascii="Times New Roman" w:hAnsi="Times New Roman"/>
          <w:sz w:val="24"/>
        </w:rPr>
        <w:t xml:space="preserve">Az Ebktv. rendelkezése értelmében az egyenlő bánásmód követelményét érvényesíteni kell a társadalombiztosítási rendszerekből finanszírozott, továbbá a szociális, illetve gyermekvédelmi pénzbeli és természetbeni, valamint személyes gondoskodást nyújtó ellátások igénylése és biztosítása, a betegségmegelőző programokban és a szűrővizsgálatokon való részvétel, a gyógyító-megelőző ellátás, a tartózkodás céljára szolgáló helyiségek használata, az élelmezési és egyéb szükségletek kielégítése során. </w:t>
      </w:r>
    </w:p>
    <w:p w:rsidR="00795A46" w:rsidRDefault="00795A46" w:rsidP="00795A46">
      <w:pPr>
        <w:rPr>
          <w:rFonts w:ascii="Times New Roman" w:hAnsi="Times New Roman"/>
          <w:sz w:val="24"/>
        </w:rPr>
      </w:pPr>
      <w:r>
        <w:rPr>
          <w:rFonts w:ascii="Times New Roman" w:hAnsi="Times New Roman"/>
          <w:sz w:val="24"/>
        </w:rPr>
        <w:t>Az egyenlő bánásmódhoz való jog magában foglalja különösen az azonos egészségügyi intézmények használatának, az ugyanolyan színvonalú és hatékony, illetőleg nem magasabb kockázattal járó gyógykezelésben, valamint betegségmegelőző programokban (szűrővizsgálatokban) való részvétel jogát.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Tblacm"/>
        <w:rPr>
          <w:rFonts w:ascii="Times New Roman" w:hAnsi="Times New Roman"/>
          <w:sz w:val="24"/>
          <w:szCs w:val="24"/>
          <w:shd w:val="clear" w:color="auto" w:fill="00FF00"/>
        </w:rPr>
      </w:pPr>
      <w:bookmarkStart w:id="58" w:name="__RefHeading__125_1906745769"/>
      <w:bookmarkEnd w:id="58"/>
      <w:r>
        <w:rPr>
          <w:rFonts w:ascii="Times New Roman" w:hAnsi="Times New Roman"/>
          <w:sz w:val="24"/>
          <w:szCs w:val="24"/>
          <w:shd w:val="clear" w:color="auto" w:fill="00FF00"/>
        </w:rPr>
        <w:t>3.6.1. számú táblázat – Egészségügyi ellátás</w:t>
      </w:r>
    </w:p>
    <w:p w:rsidR="00795A46" w:rsidRDefault="00795A46" w:rsidP="00795A46">
      <w:pPr>
        <w:pStyle w:val="NormlCalibri11"/>
        <w:keepNext/>
        <w:pBdr>
          <w:top w:val="none" w:sz="0" w:space="0" w:color="auto"/>
          <w:left w:val="none" w:sz="0" w:space="0" w:color="auto"/>
          <w:bottom w:val="none" w:sz="0" w:space="0" w:color="auto"/>
          <w:right w:val="none" w:sz="0" w:space="0" w:color="auto"/>
        </w:pBdr>
        <w:rPr>
          <w:rFonts w:ascii="Times New Roman" w:hAnsi="Times New Roman"/>
          <w:sz w:val="20"/>
          <w:szCs w:val="20"/>
        </w:rPr>
      </w:pPr>
    </w:p>
    <w:tbl>
      <w:tblPr>
        <w:tblW w:w="9180" w:type="dxa"/>
        <w:tblInd w:w="2" w:type="dxa"/>
        <w:tblLayout w:type="fixed"/>
        <w:tblCellMar>
          <w:left w:w="70" w:type="dxa"/>
          <w:right w:w="70" w:type="dxa"/>
        </w:tblCellMar>
        <w:tblLook w:val="00A0" w:firstRow="1" w:lastRow="0" w:firstColumn="1" w:lastColumn="0" w:noHBand="0" w:noVBand="0"/>
      </w:tblPr>
      <w:tblGrid>
        <w:gridCol w:w="760"/>
        <w:gridCol w:w="1164"/>
        <w:gridCol w:w="1436"/>
        <w:gridCol w:w="1500"/>
        <w:gridCol w:w="1260"/>
        <w:gridCol w:w="1620"/>
        <w:gridCol w:w="1440"/>
      </w:tblGrid>
      <w:tr w:rsidR="00795A46" w:rsidTr="00795A46">
        <w:trPr>
          <w:trHeight w:val="2850"/>
        </w:trPr>
        <w:tc>
          <w:tcPr>
            <w:tcW w:w="760" w:type="dxa"/>
            <w:vMerge w:val="restart"/>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jc w:val="center"/>
              <w:rPr>
                <w:rFonts w:cs="Calibri"/>
                <w:b/>
                <w:bCs/>
                <w:szCs w:val="22"/>
                <w:lang w:eastAsia="hu-HU"/>
              </w:rPr>
            </w:pPr>
            <w:r>
              <w:rPr>
                <w:b/>
                <w:bCs/>
                <w:lang w:eastAsia="hu-HU"/>
              </w:rPr>
              <w:t>Év</w:t>
            </w:r>
          </w:p>
        </w:tc>
        <w:tc>
          <w:tcPr>
            <w:tcW w:w="1164"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Felnőttek és gyermekek részére szervezett háziorvosi szolgálatok száma</w:t>
            </w:r>
            <w:r>
              <w:rPr>
                <w:b/>
                <w:bCs/>
                <w:lang w:eastAsia="hu-HU"/>
              </w:rPr>
              <w:br/>
            </w:r>
            <w:r>
              <w:rPr>
                <w:lang w:eastAsia="hu-HU"/>
              </w:rPr>
              <w:t>(TS 107)</w:t>
            </w:r>
          </w:p>
        </w:tc>
        <w:tc>
          <w:tcPr>
            <w:tcW w:w="1436"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Csak felnőttek részére szervezett háziorvosi szolgáltatások száma</w:t>
            </w:r>
            <w:r>
              <w:rPr>
                <w:b/>
                <w:bCs/>
                <w:lang w:eastAsia="hu-HU"/>
              </w:rPr>
              <w:br/>
            </w:r>
            <w:r>
              <w:rPr>
                <w:lang w:eastAsia="hu-HU"/>
              </w:rPr>
              <w:t>(TS 106)</w:t>
            </w:r>
          </w:p>
        </w:tc>
        <w:tc>
          <w:tcPr>
            <w:tcW w:w="150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A házi gyermekorvosok által ellátott szolgálatok száma</w:t>
            </w:r>
            <w:r>
              <w:rPr>
                <w:b/>
                <w:bCs/>
                <w:lang w:eastAsia="hu-HU"/>
              </w:rPr>
              <w:br/>
            </w:r>
            <w:r>
              <w:rPr>
                <w:lang w:eastAsia="hu-HU"/>
              </w:rPr>
              <w:t>(TS 108)</w:t>
            </w:r>
          </w:p>
        </w:tc>
        <w:tc>
          <w:tcPr>
            <w:tcW w:w="126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Gyógyszertárak és </w:t>
            </w:r>
            <w:r>
              <w:rPr>
                <w:b/>
                <w:bCs/>
                <w:lang w:eastAsia="hu-HU"/>
              </w:rPr>
              <w:br/>
              <w:t>fiókgyógyszertárak száma</w:t>
            </w:r>
            <w:r>
              <w:rPr>
                <w:b/>
                <w:bCs/>
                <w:lang w:eastAsia="hu-HU"/>
              </w:rPr>
              <w:br/>
            </w:r>
            <w:r>
              <w:rPr>
                <w:lang w:eastAsia="hu-HU"/>
              </w:rPr>
              <w:t>(TS 110)</w:t>
            </w:r>
          </w:p>
        </w:tc>
        <w:tc>
          <w:tcPr>
            <w:tcW w:w="162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sz w:val="20"/>
                <w:szCs w:val="20"/>
                <w:lang w:eastAsia="hu-HU"/>
              </w:rPr>
            </w:pPr>
            <w:r>
              <w:rPr>
                <w:b/>
                <w:bCs/>
                <w:color w:val="000000"/>
                <w:sz w:val="20"/>
                <w:szCs w:val="20"/>
                <w:lang w:eastAsia="hu-HU"/>
              </w:rPr>
              <w:t xml:space="preserve">Közgyógyellátási igazolvánnyal rendelkezők száma (alanyi és normatív alapon kiadott) </w:t>
            </w:r>
            <w:r>
              <w:rPr>
                <w:b/>
                <w:bCs/>
                <w:color w:val="000000"/>
                <w:sz w:val="20"/>
                <w:szCs w:val="20"/>
                <w:lang w:eastAsia="hu-HU"/>
              </w:rPr>
              <w:br/>
            </w:r>
            <w:r>
              <w:rPr>
                <w:color w:val="000000"/>
                <w:sz w:val="20"/>
                <w:szCs w:val="20"/>
                <w:lang w:eastAsia="hu-HU"/>
              </w:rPr>
              <w:t>(TS 133)</w:t>
            </w:r>
          </w:p>
        </w:tc>
        <w:tc>
          <w:tcPr>
            <w:tcW w:w="144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szCs w:val="22"/>
                <w:lang w:eastAsia="hu-HU"/>
              </w:rPr>
            </w:pPr>
            <w:r>
              <w:rPr>
                <w:b/>
                <w:bCs/>
                <w:lang w:eastAsia="hu-HU"/>
              </w:rPr>
              <w:t xml:space="preserve">Ápolási díj, alanyi jogon: támogatásban részesítettek évi átlagos száma </w:t>
            </w:r>
            <w:r>
              <w:rPr>
                <w:lang w:eastAsia="hu-HU"/>
              </w:rPr>
              <w:t>(TS 135)</w:t>
            </w:r>
          </w:p>
        </w:tc>
      </w:tr>
      <w:tr w:rsidR="00795A46" w:rsidTr="00795A46">
        <w:trPr>
          <w:trHeight w:val="645"/>
        </w:trPr>
        <w:tc>
          <w:tcPr>
            <w:tcW w:w="760" w:type="dxa"/>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1164"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db</w:t>
            </w:r>
          </w:p>
        </w:tc>
        <w:tc>
          <w:tcPr>
            <w:tcW w:w="1436"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db</w:t>
            </w:r>
          </w:p>
        </w:tc>
        <w:tc>
          <w:tcPr>
            <w:tcW w:w="150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db</w:t>
            </w:r>
          </w:p>
        </w:tc>
        <w:tc>
          <w:tcPr>
            <w:tcW w:w="126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db</w:t>
            </w:r>
          </w:p>
        </w:tc>
        <w:tc>
          <w:tcPr>
            <w:tcW w:w="162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c>
          <w:tcPr>
            <w:tcW w:w="144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r>
      <w:tr w:rsidR="00795A46" w:rsidTr="00795A46">
        <w:trPr>
          <w:trHeight w:val="420"/>
        </w:trPr>
        <w:tc>
          <w:tcPr>
            <w:tcW w:w="7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116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43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w:t>
            </w:r>
          </w:p>
        </w:tc>
        <w:tc>
          <w:tcPr>
            <w:tcW w:w="15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175</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r w:rsidR="00795A46" w:rsidTr="00795A46">
        <w:trPr>
          <w:trHeight w:val="300"/>
        </w:trPr>
        <w:tc>
          <w:tcPr>
            <w:tcW w:w="7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116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43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w:t>
            </w:r>
          </w:p>
        </w:tc>
        <w:tc>
          <w:tcPr>
            <w:tcW w:w="15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152</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r w:rsidR="00795A46" w:rsidTr="00795A46">
        <w:trPr>
          <w:trHeight w:val="300"/>
        </w:trPr>
        <w:tc>
          <w:tcPr>
            <w:tcW w:w="7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116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43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w:t>
            </w:r>
          </w:p>
        </w:tc>
        <w:tc>
          <w:tcPr>
            <w:tcW w:w="15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26</w:t>
            </w:r>
          </w:p>
        </w:tc>
      </w:tr>
      <w:tr w:rsidR="00795A46" w:rsidTr="00795A46">
        <w:trPr>
          <w:trHeight w:val="300"/>
        </w:trPr>
        <w:tc>
          <w:tcPr>
            <w:tcW w:w="7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116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43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w:t>
            </w:r>
          </w:p>
        </w:tc>
        <w:tc>
          <w:tcPr>
            <w:tcW w:w="15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29</w:t>
            </w:r>
          </w:p>
        </w:tc>
      </w:tr>
      <w:tr w:rsidR="00795A46" w:rsidTr="00795A46">
        <w:trPr>
          <w:trHeight w:val="300"/>
        </w:trPr>
        <w:tc>
          <w:tcPr>
            <w:tcW w:w="7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116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43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w:t>
            </w:r>
          </w:p>
        </w:tc>
        <w:tc>
          <w:tcPr>
            <w:tcW w:w="15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w:t>
            </w:r>
          </w:p>
        </w:tc>
      </w:tr>
      <w:tr w:rsidR="00795A46" w:rsidTr="00795A46">
        <w:trPr>
          <w:trHeight w:val="300"/>
        </w:trPr>
        <w:tc>
          <w:tcPr>
            <w:tcW w:w="7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116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43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w:t>
            </w:r>
          </w:p>
        </w:tc>
        <w:tc>
          <w:tcPr>
            <w:tcW w:w="15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bl>
    <w:p w:rsidR="00795A46" w:rsidRDefault="00795A46" w:rsidP="00795A46">
      <w:pPr>
        <w:rPr>
          <w:rFonts w:ascii="Times New Roman" w:hAnsi="Times New Roman"/>
          <w:sz w:val="20"/>
          <w:szCs w:val="20"/>
        </w:rPr>
      </w:pPr>
    </w:p>
    <w:p w:rsidR="00795A46" w:rsidRDefault="00795A46" w:rsidP="00795A46">
      <w:pPr>
        <w:rPr>
          <w:rFonts w:ascii="Times New Roman" w:hAnsi="Times New Roman"/>
          <w:sz w:val="24"/>
        </w:rPr>
      </w:pPr>
      <w:r>
        <w:rPr>
          <w:rFonts w:ascii="Times New Roman" w:hAnsi="Times New Roman"/>
          <w:sz w:val="24"/>
        </w:rPr>
        <w:t>Forrás: TeIR, KSH-Tstar</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noProof/>
          <w:lang w:eastAsia="hu-HU"/>
        </w:rPr>
        <w:drawing>
          <wp:inline distT="0" distB="0" distL="0" distR="0" wp14:anchorId="6E8F60E4" wp14:editId="0D84FD3F">
            <wp:extent cx="4010025" cy="3581400"/>
            <wp:effectExtent l="0" t="0" r="9525" b="0"/>
            <wp:docPr id="8" name="Kép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0025" cy="3581400"/>
                    </a:xfrm>
                    <a:prstGeom prst="rect">
                      <a:avLst/>
                    </a:prstGeom>
                    <a:noFill/>
                    <a:ln>
                      <a:noFill/>
                    </a:ln>
                  </pic:spPr>
                </pic:pic>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A 2010-ben újjáépített háziorvosi rendelőben érhető el a felnőttek számára a háziorvosi ellátás három praxisa, és gyermekorvosi ellátás, valamint a két körzetet ellátó védőnői szolgálat. A településen két gyógyszertár is működik. </w:t>
      </w:r>
    </w:p>
    <w:p w:rsidR="00795A46" w:rsidRDefault="00795A46" w:rsidP="00795A46">
      <w:pPr>
        <w:rPr>
          <w:rFonts w:ascii="Times New Roman" w:hAnsi="Times New Roman"/>
          <w:sz w:val="24"/>
        </w:rPr>
      </w:pPr>
      <w:bookmarkStart w:id="59" w:name="__RefHeading__127_1906745769"/>
      <w:bookmarkStart w:id="60" w:name="__RefHeading__129_1906745769"/>
      <w:bookmarkEnd w:id="59"/>
      <w:bookmarkEnd w:id="60"/>
    </w:p>
    <w:p w:rsidR="00795A46" w:rsidRDefault="00795A46" w:rsidP="00795A46">
      <w:pPr>
        <w:rPr>
          <w:rFonts w:ascii="Times New Roman" w:hAnsi="Times New Roman"/>
          <w:color w:val="000000"/>
          <w:sz w:val="24"/>
        </w:rPr>
      </w:pPr>
      <w:r>
        <w:rPr>
          <w:rFonts w:ascii="Times New Roman" w:hAnsi="Times New Roman"/>
          <w:sz w:val="24"/>
        </w:rPr>
        <w:t xml:space="preserve">Az egészségügyi alapellátás megoldott a városban, viszont a szakrendelők Orosházán találhatók. A betegek beutazása magas költséggel jár. Egy mélyszegénységben élő család alacsony jövedelméből az alapvető szükségletei költségét is nehezen tudja fedezni, ezért a szakrendelőbe utazás költségeit már nehezen tudja finanszírozni, továbbá a gyógyszerek kiváltása is bizonytalan. </w:t>
      </w:r>
      <w:r>
        <w:rPr>
          <w:rFonts w:ascii="Times New Roman" w:hAnsi="Times New Roman"/>
          <w:color w:val="000000"/>
          <w:sz w:val="24"/>
        </w:rPr>
        <w:t>Igény lenne a helyben biztosított, folyamatos szakorvosi ellátásra.</w:t>
      </w:r>
    </w:p>
    <w:p w:rsidR="00795A46" w:rsidRDefault="00795A46" w:rsidP="00795A46">
      <w:pPr>
        <w:rPr>
          <w:rFonts w:ascii="Times New Roman" w:hAnsi="Times New Roman"/>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b)</w:t>
      </w:r>
      <w:r>
        <w:rPr>
          <w:rFonts w:ascii="Times New Roman" w:hAnsi="Times New Roman"/>
          <w:b/>
          <w:bCs/>
          <w:sz w:val="24"/>
        </w:rPr>
        <w:t xml:space="preserve"> prevenciós és szűrőprogramokhoz (pl. népegészségügyi, koragyermekkori kötelező szűrésekhez) való hozzáférés</w:t>
      </w:r>
    </w:p>
    <w:p w:rsidR="00795A46" w:rsidRDefault="00795A46" w:rsidP="00795A46">
      <w:pPr>
        <w:rPr>
          <w:rFonts w:ascii="Times New Roman" w:hAnsi="Times New Roman"/>
          <w:sz w:val="24"/>
        </w:rPr>
      </w:pPr>
    </w:p>
    <w:p w:rsidR="00795A46" w:rsidRDefault="00795A46" w:rsidP="00795A46">
      <w:pPr>
        <w:ind w:firstLine="426"/>
        <w:rPr>
          <w:rFonts w:ascii="Times New Roman" w:hAnsi="Times New Roman"/>
          <w:color w:val="33CCCC"/>
          <w:sz w:val="24"/>
        </w:rPr>
      </w:pPr>
      <w:r>
        <w:rPr>
          <w:rFonts w:ascii="Times New Roman" w:hAnsi="Times New Roman"/>
          <w:sz w:val="24"/>
        </w:rPr>
        <w:t xml:space="preserve">A kötelező szűrővizsgálatokat a háziorvosok és védőnők szervezik és tartják nyilván. Évente egészségnapokat rendeznek a településen, ahol többféle szakorvosi vizsgálatra is lehetőség van. A korábbi években – évente több alakalommal szerveztek ortopédiai és nőgyógyászati szűrővizsgálatokat, ez utóbbit az Orosházi Kórház orvosai folytattak le.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c)</w:t>
      </w:r>
      <w:r>
        <w:rPr>
          <w:rFonts w:ascii="Times New Roman" w:hAnsi="Times New Roman"/>
          <w:b/>
          <w:bCs/>
          <w:sz w:val="24"/>
        </w:rPr>
        <w:t xml:space="preserve"> fejlesztő és rehabilitációs ellátáshoz való hozzáférés</w:t>
      </w:r>
    </w:p>
    <w:p w:rsidR="00795A46" w:rsidRDefault="00795A46" w:rsidP="00795A46">
      <w:pPr>
        <w:rPr>
          <w:rFonts w:ascii="Times New Roman" w:hAnsi="Times New Roman"/>
          <w:sz w:val="24"/>
        </w:rPr>
      </w:pPr>
    </w:p>
    <w:p w:rsidR="00795A46" w:rsidRDefault="00795A46" w:rsidP="00795A46">
      <w:pPr>
        <w:ind w:firstLine="426"/>
        <w:rPr>
          <w:rFonts w:ascii="Times New Roman" w:hAnsi="Times New Roman"/>
          <w:sz w:val="24"/>
        </w:rPr>
      </w:pPr>
      <w:r>
        <w:rPr>
          <w:rFonts w:ascii="Times New Roman" w:hAnsi="Times New Roman"/>
          <w:sz w:val="24"/>
        </w:rPr>
        <w:t>A településen élő, fejlesztésre vagy rehabilitációs ellátásra szoruló személyek között nem különböztetjük meg azokat, akik mélyszegénységben élnek vagy romák. Az önkormányzat álláspontja szerint, ha a település lakosai közül valaki rászorul a helyben nem elérhető ellátási formára, és az arra való beutazás költségét nem tudja kigazdálkodni, akkor bizonyos feltételek vizsgálatával települési támogatást vehet igénybe. A fejlesztésre szoruló gyermekek esetében az egyszerűbb eseteket a KLIK által működtetett általános iskola utazó fejlesztőpedagógusa, logopédusa ugyanakkor helyben megoldja.</w:t>
      </w:r>
    </w:p>
    <w:p w:rsidR="00795A46" w:rsidRDefault="00795A46" w:rsidP="00795A46">
      <w:pPr>
        <w:rPr>
          <w:rFonts w:ascii="Times New Roman" w:hAnsi="Times New Roman"/>
          <w:sz w:val="24"/>
        </w:rPr>
      </w:pPr>
      <w:r>
        <w:rPr>
          <w:rFonts w:ascii="Times New Roman" w:hAnsi="Times New Roman"/>
          <w:sz w:val="24"/>
        </w:rPr>
        <w:t xml:space="preserve">A </w:t>
      </w:r>
      <w:r>
        <w:rPr>
          <w:rFonts w:ascii="Times New Roman" w:hAnsi="Times New Roman"/>
          <w:color w:val="000000"/>
          <w:sz w:val="24"/>
        </w:rPr>
        <w:t>speciális nevelési szükségletű</w:t>
      </w:r>
      <w:r>
        <w:rPr>
          <w:rFonts w:ascii="Times New Roman" w:hAnsi="Times New Roman"/>
          <w:sz w:val="24"/>
        </w:rPr>
        <w:t xml:space="preserve"> gyermekek az állapotuknak megfelelő speciális iskolába járnak Orosházára, Gyulára, Békéscsabára. Iskolába járásukat segíti a Mozgáskorlátozottak Békés Megyei Egyesülete Támogató Szolgálatának speciális szállító gépjárműve, vagy a szülők saját erőből hordják őket naponta.</w:t>
      </w:r>
    </w:p>
    <w:p w:rsidR="00795A46" w:rsidRDefault="00795A46" w:rsidP="00795A46">
      <w:pPr>
        <w:suppressAutoHyphens w:val="0"/>
        <w:rPr>
          <w:rFonts w:ascii="Times New Roman" w:hAnsi="Times New Roman"/>
          <w:color w:val="0070C0"/>
          <w:sz w:val="24"/>
          <w:lang w:eastAsia="hu-HU"/>
        </w:rPr>
      </w:pPr>
    </w:p>
    <w:p w:rsidR="00795A46" w:rsidRDefault="00795A46" w:rsidP="00795A46">
      <w:pPr>
        <w:suppressAutoHyphens w:val="0"/>
        <w:rPr>
          <w:rFonts w:ascii="Times New Roman" w:hAnsi="Times New Roman"/>
          <w:sz w:val="24"/>
          <w:lang w:eastAsia="hu-HU"/>
        </w:rPr>
      </w:pPr>
      <w:r>
        <w:rPr>
          <w:rFonts w:ascii="Times New Roman" w:hAnsi="Times New Roman"/>
          <w:color w:val="000000"/>
          <w:sz w:val="24"/>
          <w:lang w:eastAsia="hu-HU"/>
        </w:rPr>
        <w:t>Csorvás Város Önkormányzata Képviselő-testületének a települési támogatások rendszeréről, valamint a személyes gondoskodást nyújtó szociális ellátásokról szóló 14/2021. (XII.9.) önkormányzati rendelete 14.§-ának megfelelően</w:t>
      </w:r>
      <w:r>
        <w:rPr>
          <w:rFonts w:ascii="Times New Roman" w:hAnsi="Times New Roman"/>
          <w:sz w:val="24"/>
          <w:lang w:eastAsia="hu-HU"/>
        </w:rPr>
        <w:t xml:space="preserve"> a közlekedési költségekhez való hozzájárulásként támogatásban részesülhetnek azok a tartósan beteg, súlyosan fogyatékos gyermeket nevelő szülők, akik egy másik település speciális ellátást nyújtó nevelési-oktatási intézményében biztosítják gyermekük számára a nappali rendszerű tanulmányok folytatását. A köznevelési intézmények speciális nevelési igényű gyermekek tanulói jogviszonya igazolása alapján, jogosult gyermekenként évente egyszeri, 60.000,- Ft összegű készpénztámogatást nyújthatunk minden év decemberében.</w:t>
      </w:r>
    </w:p>
    <w:p w:rsidR="00795A46" w:rsidRDefault="00795A46" w:rsidP="00795A46">
      <w:pPr>
        <w:rPr>
          <w:rFonts w:ascii="Times New Roman" w:hAnsi="Times New Roman"/>
          <w:sz w:val="24"/>
        </w:rPr>
      </w:pP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 xml:space="preserve">A Mozgáskorlátozottak Békés Megyei Egyesülete intézményei: </w:t>
      </w:r>
      <w:r>
        <w:rPr>
          <w:rFonts w:ascii="Times New Roman" w:hAnsi="Times New Roman"/>
          <w:color w:val="000000"/>
          <w:sz w:val="24"/>
          <w:lang w:eastAsia="hu-HU"/>
        </w:rPr>
        <w:t>az Önálló Életvitel Központ és Támogató Szolgálat,</w:t>
      </w:r>
      <w:r>
        <w:rPr>
          <w:rFonts w:ascii="Times New Roman" w:hAnsi="Times New Roman"/>
          <w:color w:val="33CCCC"/>
          <w:sz w:val="24"/>
          <w:lang w:eastAsia="hu-HU"/>
        </w:rPr>
        <w:t xml:space="preserve"> </w:t>
      </w:r>
      <w:r>
        <w:rPr>
          <w:rFonts w:ascii="Times New Roman" w:hAnsi="Times New Roman"/>
          <w:sz w:val="24"/>
          <w:lang w:eastAsia="hu-HU"/>
        </w:rPr>
        <w:t>a Csillag Szociális Szolgáltató Központ Lakóotthon és Integrált Támogató Szolgáltatás, a Napraforgó Egységes Gyógypedagógiai Módszertani Intézmény, Pedagógiai Szakszolgálat, Óvoda és Fejlesztő Nevelés-oktatást Végző Iskola, és a Napraforgó Központ Fogyatékosok Nappali Intézménye.</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 xml:space="preserve">A szállító szolgálatuk akadálymentes járművekkel áll a Békéscsabai Járásban élők rendelkezésére, ezzel is segítve ügyfeleiket, hogy az iskolába, munkába, gyógykezelésre, szabadidős programokra, vagy a rokonaikhoz biztonságosan eljuthassanak. </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A Napraforgó Egységes Gyógypedagógiai Módszertani Intézmény, Pedagógiai Szakszolgálat, Óvoda és Fejlesztő Nevelés-oktatást Végző Iskola egy közoktatási intézményegység, ahol 5 éves korig a gyermekek korai fejlesztése, 5-7 éves korú gyermekek fejlesztő felkészítése, 6-23 éves korú súlyosan, halmozottan fogyatékos tanulók fejlesztő iskolai képzése és az integráltan nevelt, oktatott gyermekek konduktív pedagógiai ellátása valósul meg. A többségi oktatásból, nevelésből kimaradó 3-23 éves korú fogyatékos gyermekek és fiatalok számára nyújt megoldást a nappali intézményi ellátásuk.</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Az intézmény alapvető nevelési, fejlesztési feladata a gyermek és fiatalok testi, lelki szükségleteinek kielégítése, a testi-lelki harmónia megteremtése mellett az eltérő fejlődésmenet kompenzálása az egyéni képességekhez idomulva. Az ellátás során nagy hangsúlyt fektetnek az önkiszolgálásra nevelésre, hogy a fiatal képes legyen a saját szükségleteinek állapota szerinti ellátására. A fizikális ellátáson túl fontos a gyerekek és fiatalok társas kapcsolatainak erősítése, a beilleszkedési folyamat segítése.</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lang w:eastAsia="hu-HU"/>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lang w:eastAsia="hu-HU"/>
        </w:rPr>
      </w:pPr>
      <w:r>
        <w:rPr>
          <w:rFonts w:ascii="Times New Roman" w:hAnsi="Times New Roman"/>
          <w:sz w:val="24"/>
          <w:lang w:eastAsia="hu-HU"/>
        </w:rPr>
        <w:t>Tekintettel azokra a szociálisan hátrányos helyzetű családban nevelkedő 0-3 éves gyermekekre, akik számára otthon korlátozottan biztosítottak a szociális és egyéb értelmi képességek kibontakoztatásához szükséges feltételek, indokoltnak tartjuk Csorvás városban egy Biztos Kezdet Gyerekház létrehozását. Amennyiben a szülők szívesen vennének részt gyermekeikkel a Gyerekház által biztosított programokon és foglalkozásokon, akkor ezeknek a gyermekeknek a szociális, mentális és fizikai fejlődése óvodakötelezettségük eléréséig biztosítható volna. Emellett a fejlesztésre szoruló területeket hamarabb ismernék fel az ott dolgozó szakemberek a – szerencsés esetben - mindennapi kapcsolat révén.</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Egészségügyi fizikoterápia helyben található, egyéb mozgásszervi terápiák csak Gyopárosfürdőn érhetők el. Rehabilitációs munkahely van a városban, de a foglalkoztatottak létszámát fontos lenne emelni, mert nagy rá az igény. </w:t>
      </w:r>
    </w:p>
    <w:p w:rsidR="00795A46" w:rsidRDefault="00795A46" w:rsidP="00795A46">
      <w:pPr>
        <w:rPr>
          <w:rFonts w:ascii="Times New Roman" w:hAnsi="Times New Roman"/>
          <w:sz w:val="24"/>
        </w:rPr>
      </w:pPr>
    </w:p>
    <w:p w:rsidR="00795A46" w:rsidRDefault="00795A46" w:rsidP="00795A46">
      <w:pPr>
        <w:autoSpaceDE w:val="0"/>
        <w:spacing w:after="20"/>
        <w:rPr>
          <w:rFonts w:ascii="Times New Roman" w:hAnsi="Times New Roman"/>
          <w:i/>
          <w:iCs/>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d)</w:t>
      </w:r>
      <w:r>
        <w:rPr>
          <w:rFonts w:ascii="Times New Roman" w:hAnsi="Times New Roman"/>
          <w:b/>
          <w:bCs/>
          <w:sz w:val="24"/>
        </w:rPr>
        <w:t xml:space="preserve"> közétkeztetésben az egészséges táplálkozás szempontjainak megjelenése</w:t>
      </w:r>
    </w:p>
    <w:p w:rsidR="00795A46" w:rsidRDefault="00795A46" w:rsidP="00795A46">
      <w:pPr>
        <w:rPr>
          <w:rFonts w:ascii="Times New Roman" w:hAnsi="Times New Roman"/>
          <w:sz w:val="24"/>
        </w:rPr>
      </w:pPr>
    </w:p>
    <w:p w:rsidR="00795A46" w:rsidRDefault="00795A46" w:rsidP="00795A46">
      <w:pPr>
        <w:ind w:firstLine="426"/>
        <w:rPr>
          <w:rFonts w:ascii="Times New Roman" w:hAnsi="Times New Roman"/>
          <w:sz w:val="24"/>
        </w:rPr>
      </w:pPr>
      <w:r>
        <w:rPr>
          <w:rFonts w:ascii="Times New Roman" w:hAnsi="Times New Roman"/>
          <w:sz w:val="24"/>
        </w:rPr>
        <w:t xml:space="preserve">A közétkeztetés mindenkori feladata a fogyasztók életkori sajátosságainak és a táplálkozás-egészségügyi előírásoknak a figyelembevételével szolgáltatás iránti igény kielégítése. A közüzemi szolgáltató fontos célkitűzése a közelben megtermelt zöldség-gyümölcs- és tejtermékeknek minél nagyobb arányú, előírás szerinti beépítése a táplálkozásba. </w:t>
      </w:r>
    </w:p>
    <w:p w:rsidR="00795A46" w:rsidRDefault="00795A46" w:rsidP="00795A46">
      <w:pPr>
        <w:rPr>
          <w:rFonts w:ascii="Times New Roman" w:hAnsi="Times New Roman"/>
          <w:color w:val="000000"/>
          <w:sz w:val="24"/>
        </w:rPr>
      </w:pPr>
      <w:r>
        <w:rPr>
          <w:rFonts w:ascii="Times New Roman" w:hAnsi="Times New Roman"/>
          <w:color w:val="000000"/>
          <w:sz w:val="24"/>
        </w:rPr>
        <w:t xml:space="preserve">A Csorvás Város Önkormányzata 100%-os tulajdonában álló Csorvási Szolgáltató Nonprofit kft. üzemelteti a település napközi konyháját. A konyha épülete is az önkormányzat tulajdonában áll. Ez a közétkeztető cég biztosítja a település bölcsődései, óvodásai, általános iskolásai, az Egyesített Szociális Intézmény bentlakói és otthonukban gondozottjai, valamint bármely étkezési szolgáltatást igénybe vevő számára a napi étkezést.  Az épület állapota felújítást igénylő, belső átalakításra, korszerűsítésre váró, szükség van mielőbbi energetikai korszerűsítésére is. A helyi gazdaságfejlesztés keretében szükséges mihamarabbi gép- és technológiaszintű korszerűsítése is annak érdekében, hogy a közétkeztető megfeleljen a jogszabályi környezetnek, és hiánypótló közfeladatát maradéktalanul el tudja látni.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b/>
          <w:bCs/>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b/>
          <w:bCs/>
        </w:rPr>
      </w:pPr>
    </w:p>
    <w:p w:rsidR="00795A46" w:rsidRDefault="00795A46" w:rsidP="00795A46">
      <w:pPr>
        <w:tabs>
          <w:tab w:val="left" w:pos="5572"/>
        </w:tabs>
        <w:autoSpaceDE w:val="0"/>
        <w:spacing w:after="20"/>
        <w:ind w:firstLine="142"/>
        <w:rPr>
          <w:rFonts w:ascii="Times New Roman" w:hAnsi="Times New Roman"/>
          <w:b/>
          <w:bCs/>
          <w:sz w:val="24"/>
        </w:rPr>
      </w:pPr>
      <w:r>
        <w:rPr>
          <w:rFonts w:ascii="Times New Roman" w:hAnsi="Times New Roman"/>
          <w:b/>
          <w:bCs/>
          <w:i/>
          <w:iCs/>
          <w:sz w:val="24"/>
        </w:rPr>
        <w:t>e)</w:t>
      </w:r>
      <w:r>
        <w:rPr>
          <w:rFonts w:ascii="Times New Roman" w:hAnsi="Times New Roman"/>
          <w:b/>
          <w:bCs/>
          <w:sz w:val="24"/>
        </w:rPr>
        <w:t xml:space="preserve"> sportprogramokhoz való hozzáférés</w:t>
      </w:r>
    </w:p>
    <w:p w:rsidR="00795A46" w:rsidRDefault="00795A46" w:rsidP="00795A46">
      <w:pPr>
        <w:rPr>
          <w:rFonts w:ascii="Times New Roman" w:hAnsi="Times New Roman"/>
          <w:sz w:val="24"/>
        </w:rPr>
      </w:pPr>
    </w:p>
    <w:p w:rsidR="00795A46" w:rsidRDefault="00795A46" w:rsidP="00795A46">
      <w:pPr>
        <w:ind w:firstLine="426"/>
        <w:rPr>
          <w:rFonts w:ascii="Times New Roman" w:hAnsi="Times New Roman"/>
          <w:color w:val="000000"/>
          <w:sz w:val="24"/>
        </w:rPr>
      </w:pPr>
      <w:r>
        <w:rPr>
          <w:rFonts w:ascii="Times New Roman" w:hAnsi="Times New Roman"/>
          <w:sz w:val="24"/>
        </w:rPr>
        <w:t xml:space="preserve">A településen szervezett sportprogramokhoz minden csorvási lakos diszkriminációtól mentesen, szabadon hozzáférhet. Ezeket a programokat általában a fedett tormacsarnokban vagy a sportpályán szervezik. </w:t>
      </w:r>
      <w:r>
        <w:rPr>
          <w:rFonts w:ascii="Times New Roman" w:hAnsi="Times New Roman"/>
          <w:color w:val="000000"/>
          <w:sz w:val="24"/>
        </w:rPr>
        <w:t xml:space="preserve">A Csorvás Város Önkormányzatának tulajdonában álló Tornacsarnokot a KLIK működtetésében a Csorvási Gulyás Mihály Általános Iskola használja. Az iskola a testnevelés foglalkozások megtartására használja még az Arany János utcai „kistornaterem”-nek nevezett helyiséget, mely szintén az önkormányzat tulajdonában áll. Bár e két fedett, felszerelt épület mellett még van egy kis játszóterünk és szabadtéri edzőparkunk a település két pontján, szükséges és tovább már nehezen nélkülözhető közterület-fejlesztési beruházási célunk, hogy a település gyarapodó ifjúsága számára újabb játszótereket, sportparkokat, bringaparkot létesítsünk, valamint korszerű futópályát szeretnénk kialakítani a meglévő sportpálya mellett.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b/>
          <w:bCs/>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b/>
          <w:bCs/>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f)</w:t>
      </w:r>
      <w:r>
        <w:rPr>
          <w:rFonts w:ascii="Times New Roman" w:hAnsi="Times New Roman"/>
          <w:b/>
          <w:bCs/>
          <w:sz w:val="24"/>
        </w:rPr>
        <w:t xml:space="preserve"> személyes gondoskodást nyújtó szociális szolgáltatásokhoz való hozzáférés</w:t>
      </w:r>
    </w:p>
    <w:p w:rsidR="00795A46" w:rsidRDefault="00795A46" w:rsidP="00795A46">
      <w:pPr>
        <w:rPr>
          <w:rFonts w:ascii="Times New Roman" w:hAnsi="Times New Roman"/>
          <w:sz w:val="24"/>
        </w:rPr>
      </w:pPr>
    </w:p>
    <w:p w:rsidR="00795A46" w:rsidRDefault="00795A46" w:rsidP="00795A46">
      <w:pPr>
        <w:ind w:firstLine="426"/>
        <w:rPr>
          <w:rFonts w:ascii="Times New Roman" w:hAnsi="Times New Roman"/>
          <w:sz w:val="24"/>
        </w:rPr>
      </w:pPr>
      <w:r>
        <w:rPr>
          <w:rFonts w:ascii="Times New Roman" w:hAnsi="Times New Roman"/>
          <w:sz w:val="24"/>
        </w:rPr>
        <w:t xml:space="preserve">Az Egyesített Szociális Intézményben szociális alapszolgáltatásokat és szakosított ellátásokat is nyújtanak az arra rászorulók illetve azt igénylők részére. A működő alapellátások: étkeztetés, házi segítségnyújtás, </w:t>
      </w:r>
      <w:r>
        <w:rPr>
          <w:rFonts w:ascii="Times New Roman" w:hAnsi="Times New Roman"/>
          <w:color w:val="000000"/>
          <w:sz w:val="24"/>
        </w:rPr>
        <w:t xml:space="preserve">az orosházi kistérség feladatellátása keretében biztosított </w:t>
      </w:r>
      <w:r>
        <w:rPr>
          <w:rFonts w:ascii="Times New Roman" w:hAnsi="Times New Roman"/>
          <w:sz w:val="24"/>
        </w:rPr>
        <w:t xml:space="preserve">családsegítés és jelzőrendszeres házi segítségnyújtás, nappali ellátás. Az intézmény szakosított ellátást is nyújt: ápolást, gondozást nyújtó intézmény, valamint idősek </w:t>
      </w:r>
      <w:r>
        <w:rPr>
          <w:rFonts w:ascii="Times New Roman" w:hAnsi="Times New Roman"/>
          <w:color w:val="000000"/>
          <w:sz w:val="24"/>
        </w:rPr>
        <w:t>és demens idősek otthonaként</w:t>
      </w:r>
      <w:r>
        <w:rPr>
          <w:rFonts w:ascii="Times New Roman" w:hAnsi="Times New Roman"/>
          <w:sz w:val="24"/>
        </w:rPr>
        <w:t xml:space="preserve"> is működik. </w:t>
      </w:r>
    </w:p>
    <w:p w:rsidR="00795A46" w:rsidRDefault="00795A46" w:rsidP="00795A46">
      <w:pPr>
        <w:autoSpaceDE w:val="0"/>
        <w:spacing w:after="20"/>
        <w:ind w:firstLine="142"/>
        <w:rPr>
          <w:rFonts w:ascii="Times New Roman" w:hAnsi="Times New Roman"/>
          <w:b/>
          <w:bCs/>
          <w:i/>
          <w:iCs/>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sz w:val="24"/>
        </w:rPr>
        <w:t xml:space="preserve">g) drogprevenciós szolgáltatások </w:t>
      </w:r>
    </w:p>
    <w:p w:rsidR="00795A46" w:rsidRDefault="00795A46" w:rsidP="00795A46">
      <w:pPr>
        <w:autoSpaceDE w:val="0"/>
        <w:spacing w:after="20"/>
        <w:ind w:firstLine="142"/>
        <w:rPr>
          <w:rFonts w:ascii="Times New Roman" w:hAnsi="Times New Roman"/>
          <w:sz w:val="24"/>
        </w:rPr>
      </w:pPr>
    </w:p>
    <w:p w:rsidR="00795A46" w:rsidRDefault="00795A46" w:rsidP="00795A46">
      <w:pPr>
        <w:autoSpaceDE w:val="0"/>
        <w:spacing w:after="20"/>
        <w:ind w:firstLine="426"/>
        <w:rPr>
          <w:rFonts w:ascii="Times New Roman" w:hAnsi="Times New Roman"/>
          <w:color w:val="000000"/>
          <w:sz w:val="24"/>
        </w:rPr>
      </w:pPr>
      <w:r>
        <w:rPr>
          <w:rFonts w:ascii="Times New Roman" w:hAnsi="Times New Roman"/>
          <w:color w:val="000000"/>
          <w:sz w:val="24"/>
        </w:rPr>
        <w:t>A település általános iskolájának tanulói ismeretterjesztő drogprevenciós előadásokon vehetnek részt. ebből a feladatból a rendőrség és a védőnők is kiveszik a részüket, ráirányítva a kamaszkorúak figyelmét a korosztályukra leselkedő veszélyekre.</w:t>
      </w:r>
    </w:p>
    <w:p w:rsidR="00795A46" w:rsidRDefault="00795A46" w:rsidP="00795A46">
      <w:pPr>
        <w:autoSpaceDE w:val="0"/>
        <w:spacing w:after="20"/>
        <w:ind w:firstLine="142"/>
        <w:rPr>
          <w:rFonts w:ascii="Times New Roman" w:hAnsi="Times New Roman"/>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h)</w:t>
      </w:r>
      <w:r>
        <w:rPr>
          <w:rFonts w:ascii="Times New Roman" w:hAnsi="Times New Roman"/>
          <w:b/>
          <w:bCs/>
          <w:sz w:val="24"/>
        </w:rPr>
        <w:t xml:space="preserve"> hátrányos megkülönböztetés, az egyenlő bánásmód követelményének megsértése a szolgáltatások nyújtásakor</w:t>
      </w:r>
    </w:p>
    <w:p w:rsidR="00795A46" w:rsidRDefault="00795A46" w:rsidP="00795A46">
      <w:pPr>
        <w:rPr>
          <w:rFonts w:ascii="Times New Roman" w:hAnsi="Times New Roman"/>
          <w:sz w:val="24"/>
        </w:rPr>
      </w:pPr>
    </w:p>
    <w:p w:rsidR="00795A46" w:rsidRDefault="00795A46" w:rsidP="00795A46">
      <w:pPr>
        <w:ind w:firstLine="426"/>
        <w:rPr>
          <w:rFonts w:ascii="Times New Roman" w:hAnsi="Times New Roman"/>
          <w:sz w:val="24"/>
        </w:rPr>
      </w:pPr>
      <w:r>
        <w:rPr>
          <w:rFonts w:ascii="Times New Roman" w:hAnsi="Times New Roman"/>
          <w:sz w:val="24"/>
        </w:rPr>
        <w:t>Nem ismert hátrányos megkülönböztetés szolgálatnyújtáskor. A jogszabályban előírtak alapján járnak el. A település minden polgára egyenlő eséllyel vehet igénybe minden szolgáltatást.</w:t>
      </w:r>
    </w:p>
    <w:p w:rsidR="00795A46" w:rsidRDefault="00795A46" w:rsidP="00795A46">
      <w:pPr>
        <w:autoSpaceDE w:val="0"/>
        <w:spacing w:after="20"/>
        <w:rPr>
          <w:rFonts w:ascii="Times New Roman" w:hAnsi="Times New Roman"/>
          <w:b/>
          <w:bCs/>
          <w:i/>
          <w:iCs/>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i)</w:t>
      </w:r>
      <w:r>
        <w:rPr>
          <w:rFonts w:ascii="Times New Roman" w:hAnsi="Times New Roman"/>
          <w:b/>
          <w:bCs/>
          <w:sz w:val="24"/>
        </w:rPr>
        <w:t xml:space="preserve"> előnyben részesítési (hátránykompenzáló juttatások, szolgáltatások) a szociális és az egészségügyi ellátórendszer keretein belül</w:t>
      </w:r>
    </w:p>
    <w:p w:rsidR="00795A46" w:rsidRDefault="00795A46" w:rsidP="00795A46">
      <w:pPr>
        <w:rPr>
          <w:rFonts w:ascii="Times New Roman" w:hAnsi="Times New Roman"/>
          <w:sz w:val="24"/>
        </w:rPr>
      </w:pPr>
    </w:p>
    <w:p w:rsidR="00795A46" w:rsidRDefault="00795A46" w:rsidP="00795A46">
      <w:pPr>
        <w:ind w:firstLine="426"/>
        <w:rPr>
          <w:rFonts w:ascii="Times New Roman" w:hAnsi="Times New Roman"/>
          <w:sz w:val="24"/>
        </w:rPr>
      </w:pPr>
      <w:r>
        <w:rPr>
          <w:rFonts w:ascii="Times New Roman" w:hAnsi="Times New Roman"/>
          <w:color w:val="000000"/>
          <w:sz w:val="24"/>
        </w:rPr>
        <w:t xml:space="preserve">Települési támogatásokat kaphatnak azok a szociálisan rászoruló családok, akiknek gyermekük ellátása vagy pl. a beiskolázás megoldhatatlan problémát jelent. </w:t>
      </w:r>
      <w:r>
        <w:rPr>
          <w:rFonts w:ascii="Times New Roman" w:hAnsi="Times New Roman"/>
          <w:sz w:val="24"/>
        </w:rPr>
        <w:t xml:space="preserve">Télen tüzelőhöz, </w:t>
      </w:r>
      <w:r>
        <w:rPr>
          <w:rFonts w:ascii="Times New Roman" w:hAnsi="Times New Roman"/>
          <w:color w:val="000000"/>
          <w:sz w:val="24"/>
        </w:rPr>
        <w:t>tartós élelmiszersegélyhez</w:t>
      </w:r>
      <w:r>
        <w:rPr>
          <w:rFonts w:ascii="Times New Roman" w:hAnsi="Times New Roman"/>
          <w:sz w:val="24"/>
        </w:rPr>
        <w:t xml:space="preserve"> is hozzájuthatnak a rászorulók. A települési önkormányzat szociális konyháján készült ételadagjaival rendszeresen segíti a rászorulókat, népkonyhát ugyanakkor nem üzemeltetünk, ezért a „3.6.2.: Népkonyha” megjelölésű tábla bemutatása nem releváns.</w:t>
      </w:r>
    </w:p>
    <w:p w:rsidR="00795A46" w:rsidRDefault="00795A46" w:rsidP="00795A46">
      <w:pPr>
        <w:ind w:firstLine="426"/>
        <w:rPr>
          <w:rFonts w:ascii="Times New Roman" w:hAnsi="Times New Roman"/>
          <w:sz w:val="24"/>
        </w:rPr>
      </w:pPr>
      <w:r>
        <w:rPr>
          <w:rFonts w:ascii="Times New Roman" w:hAnsi="Times New Roman"/>
          <w:sz w:val="24"/>
        </w:rPr>
        <w:t xml:space="preserve">A Csorvási Szolgáltató Nonprofit Kft. napközi konyháján a 2021. évben az önkormányzati bölcsőde és óvoda, valamint a tankerület csorvási általános iskolája számára, ezen gyermekellátást biztosító közintézmények intézményi és szünidei gyermekétkeztetésének biztosításához 50.238 adag ételt készített.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highlight w:val="green"/>
        </w:rPr>
        <w:t>3.6.2. Népkonyha</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tbl>
      <w:tblPr>
        <w:tblW w:w="9000" w:type="dxa"/>
        <w:tblInd w:w="2" w:type="dxa"/>
        <w:tblCellMar>
          <w:left w:w="70" w:type="dxa"/>
          <w:right w:w="70" w:type="dxa"/>
        </w:tblCellMar>
        <w:tblLook w:val="00A0" w:firstRow="1" w:lastRow="0" w:firstColumn="1" w:lastColumn="0" w:noHBand="0" w:noVBand="0"/>
      </w:tblPr>
      <w:tblGrid>
        <w:gridCol w:w="1260"/>
        <w:gridCol w:w="7740"/>
      </w:tblGrid>
      <w:tr w:rsidR="00795A46" w:rsidTr="00795A46">
        <w:trPr>
          <w:trHeight w:val="507"/>
        </w:trPr>
        <w:tc>
          <w:tcPr>
            <w:tcW w:w="1260" w:type="dxa"/>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jc w:val="center"/>
              <w:rPr>
                <w:rFonts w:cs="Calibri"/>
                <w:b/>
                <w:bCs/>
                <w:lang w:eastAsia="hu-HU"/>
              </w:rPr>
            </w:pPr>
            <w:r>
              <w:rPr>
                <w:b/>
                <w:bCs/>
                <w:lang w:eastAsia="hu-HU"/>
              </w:rPr>
              <w:t>Év</w:t>
            </w:r>
          </w:p>
        </w:tc>
        <w:tc>
          <w:tcPr>
            <w:tcW w:w="774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Népkonyhán kiosztott ételadagok száma (db)</w:t>
            </w:r>
          </w:p>
        </w:tc>
      </w:tr>
      <w:tr w:rsidR="00795A46" w:rsidTr="00795A46">
        <w:trPr>
          <w:trHeight w:val="346"/>
        </w:trPr>
        <w:tc>
          <w:tcPr>
            <w:tcW w:w="12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77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r w:rsidR="00795A46" w:rsidTr="00795A46">
        <w:trPr>
          <w:trHeight w:val="420"/>
        </w:trPr>
        <w:tc>
          <w:tcPr>
            <w:tcW w:w="12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77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r w:rsidR="00795A46" w:rsidTr="00795A46">
        <w:trPr>
          <w:trHeight w:val="300"/>
        </w:trPr>
        <w:tc>
          <w:tcPr>
            <w:tcW w:w="12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77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r w:rsidR="00795A46" w:rsidTr="00795A46">
        <w:trPr>
          <w:trHeight w:val="300"/>
        </w:trPr>
        <w:tc>
          <w:tcPr>
            <w:tcW w:w="12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77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r w:rsidR="00795A46" w:rsidTr="00795A46">
        <w:trPr>
          <w:trHeight w:val="300"/>
        </w:trPr>
        <w:tc>
          <w:tcPr>
            <w:tcW w:w="12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77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r w:rsidR="00795A46" w:rsidTr="00795A46">
        <w:trPr>
          <w:trHeight w:val="300"/>
        </w:trPr>
        <w:tc>
          <w:tcPr>
            <w:tcW w:w="12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77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Forrás: önkormányzati adatok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autoSpaceDE w:val="0"/>
        <w:spacing w:after="20"/>
        <w:rPr>
          <w:rFonts w:ascii="Times New Roman" w:hAnsi="Times New Roman"/>
          <w:b/>
          <w:bCs/>
          <w:sz w:val="24"/>
        </w:rPr>
      </w:pPr>
      <w:r>
        <w:rPr>
          <w:rFonts w:ascii="Times New Roman" w:hAnsi="Times New Roman"/>
          <w:b/>
          <w:bCs/>
          <w:sz w:val="24"/>
        </w:rPr>
        <w:t>3.7 Közösségi viszonyok, helyi közélet bemutatása</w:t>
      </w:r>
    </w:p>
    <w:p w:rsidR="00795A46" w:rsidRDefault="00795A46" w:rsidP="00795A46">
      <w:pPr>
        <w:autoSpaceDE w:val="0"/>
        <w:spacing w:after="20"/>
        <w:rPr>
          <w:rFonts w:ascii="Times New Roman" w:hAnsi="Times New Roman"/>
          <w:i/>
          <w:iCs/>
          <w:sz w:val="24"/>
        </w:rPr>
      </w:pPr>
    </w:p>
    <w:p w:rsidR="00795A46" w:rsidRDefault="00795A46" w:rsidP="00795A46">
      <w:pPr>
        <w:autoSpaceDE w:val="0"/>
        <w:spacing w:after="20"/>
        <w:rPr>
          <w:rFonts w:ascii="Times New Roman" w:hAnsi="Times New Roman"/>
          <w:b/>
          <w:bCs/>
          <w:sz w:val="24"/>
        </w:rPr>
      </w:pPr>
      <w:r>
        <w:rPr>
          <w:rFonts w:ascii="Times New Roman" w:hAnsi="Times New Roman"/>
          <w:b/>
          <w:bCs/>
          <w:i/>
          <w:iCs/>
          <w:sz w:val="24"/>
        </w:rPr>
        <w:t>a)</w:t>
      </w:r>
      <w:r>
        <w:rPr>
          <w:rFonts w:ascii="Times New Roman" w:hAnsi="Times New Roman"/>
          <w:b/>
          <w:bCs/>
          <w:sz w:val="24"/>
        </w:rPr>
        <w:t xml:space="preserve"> közösségi élet színterei, fórumai</w:t>
      </w:r>
    </w:p>
    <w:p w:rsidR="00795A46" w:rsidRDefault="00795A46" w:rsidP="00795A46">
      <w:pPr>
        <w:rPr>
          <w:rFonts w:ascii="Times New Roman" w:hAnsi="Times New Roman"/>
          <w:sz w:val="24"/>
        </w:rPr>
      </w:pPr>
    </w:p>
    <w:p w:rsidR="00795A46" w:rsidRDefault="00795A46" w:rsidP="00795A46">
      <w:pPr>
        <w:ind w:firstLine="709"/>
        <w:rPr>
          <w:rFonts w:ascii="Times New Roman" w:hAnsi="Times New Roman"/>
          <w:sz w:val="24"/>
        </w:rPr>
      </w:pPr>
      <w:r>
        <w:rPr>
          <w:rFonts w:ascii="Times New Roman" w:hAnsi="Times New Roman"/>
          <w:sz w:val="24"/>
        </w:rPr>
        <w:t>A helyi közösségi élet színterei: a Művelődési ház, a Könyvtár, a nyugdíjas klubok, a Hérics szálló és konferencia központ, a sportcsarnok, sportpálya.</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A közösségi élet egyik fóruma a Csorvási Híradó, ami a településen </w:t>
      </w:r>
      <w:r>
        <w:rPr>
          <w:rFonts w:ascii="Times New Roman" w:hAnsi="Times New Roman"/>
          <w:color w:val="000000"/>
          <w:sz w:val="24"/>
        </w:rPr>
        <w:t>havonta megjelenő ingyenes sajtótermék. (Szerkesztőség és kiadó: Csorvási Szolgáltató Nonprofit Kft.)</w:t>
      </w:r>
      <w:r>
        <w:rPr>
          <w:rFonts w:ascii="Times New Roman" w:hAnsi="Times New Roman"/>
          <w:color w:val="000000"/>
        </w:rPr>
        <w:t xml:space="preserve"> </w:t>
      </w:r>
      <w:r>
        <w:rPr>
          <w:rFonts w:ascii="Times New Roman" w:hAnsi="Times New Roman"/>
          <w:color w:val="000000"/>
          <w:sz w:val="24"/>
        </w:rPr>
        <w:t>Ebben bárki</w:t>
      </w:r>
      <w:r>
        <w:rPr>
          <w:rFonts w:ascii="Times New Roman" w:hAnsi="Times New Roman"/>
          <w:sz w:val="24"/>
        </w:rPr>
        <w:t xml:space="preserve"> leírhatja a közre tartozó problémáit, közölheti véleményét, és a településen történő eseményekről is tudósít.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Az intézmények által működtetett honlapok fórum rovata is ezt a célt szolgálja az információk továbbításán túl.</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shd w:val="clear" w:color="auto" w:fill="00FF00"/>
        </w:rPr>
      </w:pPr>
      <w:r>
        <w:rPr>
          <w:rFonts w:ascii="Times New Roman" w:hAnsi="Times New Roman"/>
          <w:sz w:val="24"/>
          <w:shd w:val="clear" w:color="auto" w:fill="00FF00"/>
        </w:rPr>
        <w:t>3.7.1. számú táblázat – Intézményi ellátottság (2018)</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shd w:val="clear" w:color="auto" w:fill="00FF00"/>
        </w:rPr>
      </w:pPr>
    </w:p>
    <w:tbl>
      <w:tblPr>
        <w:tblW w:w="9180" w:type="dxa"/>
        <w:tblInd w:w="2" w:type="dxa"/>
        <w:tblCellMar>
          <w:left w:w="70" w:type="dxa"/>
          <w:right w:w="70" w:type="dxa"/>
        </w:tblCellMar>
        <w:tblLook w:val="00A0" w:firstRow="1" w:lastRow="0" w:firstColumn="1" w:lastColumn="0" w:noHBand="0" w:noVBand="0"/>
      </w:tblPr>
      <w:tblGrid>
        <w:gridCol w:w="3600"/>
        <w:gridCol w:w="1620"/>
        <w:gridCol w:w="1980"/>
        <w:gridCol w:w="1980"/>
      </w:tblGrid>
      <w:tr w:rsidR="00795A46" w:rsidTr="00795A46">
        <w:trPr>
          <w:trHeight w:val="1617"/>
        </w:trPr>
        <w:tc>
          <w:tcPr>
            <w:tcW w:w="3600"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795A46" w:rsidRDefault="00795A46">
            <w:pPr>
              <w:suppressAutoHyphens w:val="0"/>
              <w:jc w:val="center"/>
              <w:rPr>
                <w:rFonts w:cs="Calibri"/>
                <w:b/>
                <w:bCs/>
                <w:color w:val="000000"/>
                <w:szCs w:val="22"/>
                <w:lang w:eastAsia="hu-HU"/>
              </w:rPr>
            </w:pPr>
            <w:r>
              <w:rPr>
                <w:b/>
                <w:bCs/>
                <w:color w:val="000000"/>
                <w:lang w:eastAsia="hu-HU"/>
              </w:rPr>
              <w:t>Tornateremmel, tornaszobával ellátott köznevelési intézmények száma (intézmény székhelye szerint)</w:t>
            </w:r>
            <w:r>
              <w:rPr>
                <w:color w:val="000000"/>
                <w:lang w:eastAsia="hu-HU"/>
              </w:rPr>
              <w:t xml:space="preserve"> (TS 102)</w:t>
            </w:r>
          </w:p>
        </w:tc>
        <w:tc>
          <w:tcPr>
            <w:tcW w:w="162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Sportcsarnok, sportpálya léte</w:t>
            </w:r>
            <w:r>
              <w:rPr>
                <w:b/>
                <w:bCs/>
                <w:color w:val="000000"/>
                <w:lang w:eastAsia="hu-HU"/>
              </w:rPr>
              <w:br/>
            </w:r>
            <w:r>
              <w:rPr>
                <w:color w:val="000000"/>
                <w:lang w:eastAsia="hu-HU"/>
              </w:rPr>
              <w:t>(TS 103)</w:t>
            </w:r>
          </w:p>
        </w:tc>
        <w:tc>
          <w:tcPr>
            <w:tcW w:w="198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A települési könyvtárak kikölcsönzött egységeinek száma</w:t>
            </w:r>
            <w:r>
              <w:rPr>
                <w:b/>
                <w:bCs/>
                <w:color w:val="000000"/>
                <w:lang w:eastAsia="hu-HU"/>
              </w:rPr>
              <w:br/>
            </w:r>
            <w:r>
              <w:rPr>
                <w:color w:val="000000"/>
                <w:lang w:eastAsia="hu-HU"/>
              </w:rPr>
              <w:t>(TS 104)</w:t>
            </w:r>
          </w:p>
        </w:tc>
        <w:tc>
          <w:tcPr>
            <w:tcW w:w="198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Közművelődési intézmények száma</w:t>
            </w:r>
            <w:r>
              <w:rPr>
                <w:b/>
                <w:bCs/>
                <w:color w:val="000000"/>
                <w:lang w:eastAsia="hu-HU"/>
              </w:rPr>
              <w:br/>
            </w:r>
            <w:r>
              <w:rPr>
                <w:color w:val="000000"/>
                <w:lang w:eastAsia="hu-HU"/>
              </w:rPr>
              <w:t>(TS 105)</w:t>
            </w:r>
          </w:p>
        </w:tc>
      </w:tr>
      <w:tr w:rsidR="00795A46" w:rsidTr="00795A46">
        <w:trPr>
          <w:trHeight w:val="645"/>
        </w:trPr>
        <w:tc>
          <w:tcPr>
            <w:tcW w:w="3600" w:type="dxa"/>
            <w:tcBorders>
              <w:top w:val="nil"/>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db</w:t>
            </w:r>
          </w:p>
        </w:tc>
        <w:tc>
          <w:tcPr>
            <w:tcW w:w="162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van/nincs</w:t>
            </w:r>
          </w:p>
        </w:tc>
        <w:tc>
          <w:tcPr>
            <w:tcW w:w="198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db</w:t>
            </w:r>
          </w:p>
        </w:tc>
        <w:tc>
          <w:tcPr>
            <w:tcW w:w="198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db</w:t>
            </w:r>
          </w:p>
        </w:tc>
      </w:tr>
      <w:tr w:rsidR="00795A46" w:rsidTr="00795A46">
        <w:trPr>
          <w:trHeight w:val="420"/>
        </w:trPr>
        <w:tc>
          <w:tcPr>
            <w:tcW w:w="3600" w:type="dxa"/>
            <w:tcBorders>
              <w:top w:val="nil"/>
              <w:left w:val="single" w:sz="4" w:space="0" w:color="auto"/>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2</w:t>
            </w:r>
          </w:p>
        </w:tc>
        <w:tc>
          <w:tcPr>
            <w:tcW w:w="162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van</w:t>
            </w:r>
          </w:p>
        </w:tc>
        <w:tc>
          <w:tcPr>
            <w:tcW w:w="198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11567</w:t>
            </w:r>
          </w:p>
        </w:tc>
        <w:tc>
          <w:tcPr>
            <w:tcW w:w="198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1</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shd w:val="clear" w:color="auto" w:fill="00FF00"/>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rPr>
        <w:t>Forrás: TeIR, KSH-Tstar</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284"/>
        <w:rPr>
          <w:rFonts w:ascii="Times New Roman" w:hAnsi="Times New Roman"/>
          <w:sz w:val="24"/>
        </w:rPr>
      </w:pPr>
      <w:r>
        <w:rPr>
          <w:rFonts w:ascii="Times New Roman" w:hAnsi="Times New Roman"/>
          <w:sz w:val="24"/>
        </w:rPr>
        <w:t xml:space="preserve">A táblázat bemutatja, hogy a településen két testedzésre kijelölt, felszerelt helyiség található, amely a település gyermekei, köznevelési intézményei és a lakosság rendelkezésére áll. E két épület az István király utcai Tornacsarnok és az Arany János utcai „Kistornaterem”. Ezek mellett a két óvodaépületben is biztosított a gyermekek testnevelési célú foglalkozásainak megtartása, valamint két testmozgásra alkalmas helyiség is működik egy vállalkozó és egy társadalmi szervezet jóvoltából. Ezen felül mindenki rendelkezésére áll a település közterületén a sportpark és a focipálya is.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numPr>
          <w:ilvl w:val="0"/>
          <w:numId w:val="9"/>
        </w:numPr>
        <w:autoSpaceDE w:val="0"/>
        <w:spacing w:after="20"/>
        <w:ind w:left="284"/>
        <w:rPr>
          <w:rFonts w:ascii="Times New Roman" w:hAnsi="Times New Roman"/>
          <w:b/>
          <w:bCs/>
          <w:sz w:val="24"/>
        </w:rPr>
      </w:pPr>
      <w:r>
        <w:rPr>
          <w:rFonts w:ascii="Times New Roman" w:hAnsi="Times New Roman"/>
          <w:b/>
          <w:bCs/>
          <w:sz w:val="24"/>
        </w:rPr>
        <w:t>közösségi együttélés jellemzői, konfliktuskezelési megoldások</w:t>
      </w:r>
    </w:p>
    <w:p w:rsidR="00795A46" w:rsidRDefault="00795A46" w:rsidP="00795A46">
      <w:pPr>
        <w:autoSpaceDE w:val="0"/>
        <w:spacing w:after="20"/>
        <w:ind w:firstLine="709"/>
        <w:rPr>
          <w:rFonts w:ascii="Times New Roman" w:hAnsi="Times New Roman"/>
          <w:sz w:val="24"/>
        </w:rPr>
      </w:pPr>
    </w:p>
    <w:p w:rsidR="00795A46" w:rsidRDefault="00795A46" w:rsidP="00795A46">
      <w:pPr>
        <w:autoSpaceDE w:val="0"/>
        <w:spacing w:after="20"/>
        <w:ind w:firstLine="709"/>
        <w:rPr>
          <w:rFonts w:ascii="Times New Roman" w:hAnsi="Times New Roman"/>
          <w:sz w:val="24"/>
        </w:rPr>
      </w:pPr>
      <w:r>
        <w:rPr>
          <w:rFonts w:ascii="Times New Roman" w:hAnsi="Times New Roman"/>
          <w:sz w:val="24"/>
        </w:rPr>
        <w:t>Csorváson nincsenek etnikai konfliktusok. A Csorvási Roma Önkormányzat a rendelkezésére álló eszközökkel megpróbált tenni azért, hogy konfliktusoktól mentes legyen az egymás mellett élés, bár ennek a gyakorlati érvényre juttatására még nem volt szükség, hiszen településünkön még nem alakult ki etnikai konfliktus.</w:t>
      </w:r>
    </w:p>
    <w:p w:rsidR="00795A46" w:rsidRDefault="00795A46" w:rsidP="00795A46">
      <w:pPr>
        <w:autoSpaceDE w:val="0"/>
        <w:spacing w:after="20"/>
        <w:rPr>
          <w:rFonts w:ascii="Times New Roman" w:hAnsi="Times New Roman"/>
          <w:sz w:val="24"/>
        </w:rPr>
      </w:pPr>
      <w:r>
        <w:rPr>
          <w:rFonts w:ascii="Times New Roman" w:hAnsi="Times New Roman"/>
          <w:sz w:val="24"/>
        </w:rPr>
        <w:t xml:space="preserve">A városban békésen él egymás mellett a szlovák, a cigány és a magyar lakosság. A nemzeti és etnikai kisebbségek tagjai a közösség szempontjából ugyanis egyek közülünk: csorvási lakosok, akik közül többen a helyi Polgárőrségben tevékenykednek naponta a települési béke és nyugalom megőrzéséért. </w:t>
      </w: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rPr>
          <w:rFonts w:ascii="Times New Roman" w:hAnsi="Times New Roman"/>
          <w:b/>
          <w:bCs/>
          <w:sz w:val="24"/>
        </w:rPr>
      </w:pPr>
      <w:r>
        <w:rPr>
          <w:rFonts w:ascii="Times New Roman" w:hAnsi="Times New Roman"/>
          <w:b/>
          <w:bCs/>
          <w:sz w:val="24"/>
        </w:rPr>
        <w:t>c) helyi közösségi szolidaritás megnyilvánulásai (adományozás, önkéntes munka stb.)</w:t>
      </w:r>
    </w:p>
    <w:p w:rsidR="00795A46" w:rsidRDefault="00795A46" w:rsidP="00795A46">
      <w:pPr>
        <w:rPr>
          <w:rFonts w:ascii="Times New Roman" w:hAnsi="Times New Roman"/>
          <w:sz w:val="24"/>
        </w:rPr>
      </w:pPr>
    </w:p>
    <w:p w:rsidR="00795A46" w:rsidRDefault="00795A46" w:rsidP="00795A46">
      <w:pPr>
        <w:autoSpaceDE w:val="0"/>
        <w:spacing w:after="20"/>
        <w:ind w:firstLine="709"/>
        <w:rPr>
          <w:rFonts w:ascii="Times New Roman" w:hAnsi="Times New Roman"/>
          <w:sz w:val="24"/>
        </w:rPr>
      </w:pPr>
      <w:r>
        <w:rPr>
          <w:rFonts w:ascii="Times New Roman" w:hAnsi="Times New Roman"/>
          <w:sz w:val="24"/>
        </w:rPr>
        <w:t>Csorváson több civil szervezet működik, a rászoruló családok sok támogatást kapnak tőlük természetben és anyagiakban is. Azonban nemcsak a civil szervezetek, hanem a lakosság adományai is eljutnak a szegények felé.</w:t>
      </w:r>
    </w:p>
    <w:p w:rsidR="00795A46" w:rsidRDefault="00795A46" w:rsidP="00795A46">
      <w:pPr>
        <w:autoSpaceDE w:val="0"/>
        <w:spacing w:after="20"/>
        <w:rPr>
          <w:rFonts w:ascii="Times New Roman" w:hAnsi="Times New Roman"/>
          <w:sz w:val="24"/>
        </w:rPr>
      </w:pPr>
      <w:r>
        <w:rPr>
          <w:rFonts w:ascii="Times New Roman" w:hAnsi="Times New Roman"/>
          <w:color w:val="000000"/>
          <w:sz w:val="24"/>
        </w:rPr>
        <w:t xml:space="preserve">A településen több alkalommal szerveződtek jótékonysági bálok, az óvoda, az idősek otthona, vagy a Sportkör megsegítésére. </w:t>
      </w:r>
      <w:r>
        <w:rPr>
          <w:rFonts w:ascii="Times New Roman" w:hAnsi="Times New Roman"/>
          <w:sz w:val="24"/>
        </w:rPr>
        <w:t>Minden karácsony előtt ünnepség keretében kerül kiosztásra a szponzorok és az önkormányzat által adományozott édesség és egyéb élelmiszer a rászorulók körében.</w:t>
      </w:r>
    </w:p>
    <w:p w:rsidR="00795A46" w:rsidRDefault="00795A46" w:rsidP="00795A46">
      <w:pPr>
        <w:suppressAutoHyphens w:val="0"/>
        <w:autoSpaceDE w:val="0"/>
        <w:autoSpaceDN w:val="0"/>
        <w:adjustRightInd w:val="0"/>
        <w:spacing w:after="120"/>
        <w:rPr>
          <w:rFonts w:ascii="Times New Roman" w:hAnsi="Times New Roman"/>
          <w:sz w:val="24"/>
        </w:rPr>
      </w:pPr>
    </w:p>
    <w:p w:rsidR="00795A46" w:rsidRDefault="00795A46" w:rsidP="00795A46">
      <w:pPr>
        <w:suppressAutoHyphens w:val="0"/>
        <w:autoSpaceDE w:val="0"/>
        <w:autoSpaceDN w:val="0"/>
        <w:adjustRightInd w:val="0"/>
        <w:spacing w:after="120"/>
        <w:rPr>
          <w:rFonts w:ascii="Times New Roman" w:hAnsi="Times New Roman"/>
          <w:b/>
          <w:bCs/>
          <w:color w:val="000000"/>
          <w:sz w:val="24"/>
          <w:lang w:eastAsia="hu-HU"/>
        </w:rPr>
      </w:pPr>
      <w:r>
        <w:rPr>
          <w:rFonts w:ascii="Times New Roman" w:hAnsi="Times New Roman"/>
          <w:b/>
          <w:bCs/>
          <w:color w:val="000000"/>
          <w:sz w:val="24"/>
          <w:lang w:eastAsia="hu-HU"/>
        </w:rPr>
        <w:t>d) a helyben élő nemzetiségek kulturális sokszínűségének bemutatása és kulturális identitásuk megőrzésének lehetőségei</w:t>
      </w:r>
    </w:p>
    <w:p w:rsidR="00795A46" w:rsidRDefault="00795A46" w:rsidP="00795A46">
      <w:pPr>
        <w:suppressAutoHyphens w:val="0"/>
        <w:autoSpaceDE w:val="0"/>
        <w:autoSpaceDN w:val="0"/>
        <w:adjustRightInd w:val="0"/>
        <w:spacing w:after="120"/>
        <w:rPr>
          <w:rFonts w:ascii="Times New Roman" w:hAnsi="Times New Roman"/>
          <w:color w:val="000000"/>
          <w:sz w:val="24"/>
          <w:lang w:eastAsia="hu-HU"/>
        </w:rPr>
      </w:pPr>
    </w:p>
    <w:p w:rsidR="00795A46" w:rsidRDefault="00795A46" w:rsidP="00795A46">
      <w:pPr>
        <w:suppressAutoHyphens w:val="0"/>
        <w:autoSpaceDE w:val="0"/>
        <w:autoSpaceDN w:val="0"/>
        <w:adjustRightInd w:val="0"/>
        <w:spacing w:after="120"/>
        <w:ind w:firstLine="426"/>
        <w:rPr>
          <w:rFonts w:ascii="Times New Roman" w:hAnsi="Times New Roman"/>
          <w:color w:val="000000"/>
          <w:sz w:val="24"/>
          <w:lang w:eastAsia="hu-HU"/>
        </w:rPr>
      </w:pPr>
      <w:r>
        <w:rPr>
          <w:rFonts w:ascii="Times New Roman" w:hAnsi="Times New Roman"/>
          <w:color w:val="000000"/>
          <w:sz w:val="24"/>
          <w:lang w:eastAsia="hu-HU"/>
        </w:rPr>
        <w:t xml:space="preserve">A Csorváson élő szlovák és roma kisebbség őrzi és ápolja hagyományait, és minden lehetőséget megkap arra, hogy a település különböző közösségi rendezvényein megismertesse kultúráját az érdeklődőkkel. Az önkormányzat által szervezett városi ünnepségeken bemutatkozási és fellépési lehetőséget kapnak, sőt, az önkormányzat támogatja a határon túlnyúló kapcsolataik erősítését, vendéglátóként várja a kisebbségi önkormányzatok partnereinek delegációját a városban. </w:t>
      </w:r>
    </w:p>
    <w:p w:rsidR="00795A46" w:rsidRDefault="00795A46" w:rsidP="00795A46">
      <w:pPr>
        <w:suppressAutoHyphens w:val="0"/>
        <w:autoSpaceDE w:val="0"/>
        <w:autoSpaceDN w:val="0"/>
        <w:adjustRightInd w:val="0"/>
        <w:spacing w:after="120"/>
        <w:ind w:firstLine="426"/>
        <w:rPr>
          <w:rFonts w:ascii="Times New Roman" w:hAnsi="Times New Roman"/>
          <w:color w:val="000000"/>
          <w:sz w:val="24"/>
          <w:lang w:eastAsia="hu-HU"/>
        </w:rPr>
      </w:pPr>
      <w:r>
        <w:rPr>
          <w:rFonts w:ascii="Times New Roman" w:hAnsi="Times New Roman"/>
          <w:color w:val="000000"/>
          <w:sz w:val="24"/>
          <w:lang w:eastAsia="hu-HU"/>
        </w:rPr>
        <w:t>A csorvási szlovák kisebbség rendelkezik egy szlovák tájházzal a Csorvás, Bajcsy-Zsilinszky u. 25. alatt, amit pályázati forrásokból és a települési önkormányzat támogatásából újítottak fel hagyományaiknak megfelelően. Ez az ingatlan kulturális és történelmi kincseik bemutatóhelyeként és rendezvényeik helyszíneként is szolgál, valamint a tájház mellett álló közösségi tér (a Csorvás, Bajcsy-Zsilinszky u. 23. szám alatt) nagyobb városi rendezvények helyszíne is lehet.</w:t>
      </w:r>
    </w:p>
    <w:p w:rsidR="00795A46" w:rsidRDefault="00795A46" w:rsidP="00795A46">
      <w:pPr>
        <w:suppressAutoHyphens w:val="0"/>
        <w:autoSpaceDE w:val="0"/>
        <w:autoSpaceDN w:val="0"/>
        <w:adjustRightInd w:val="0"/>
        <w:spacing w:after="120"/>
        <w:ind w:firstLine="426"/>
        <w:rPr>
          <w:rFonts w:ascii="Times New Roman" w:hAnsi="Times New Roman"/>
          <w:color w:val="000000"/>
          <w:sz w:val="24"/>
          <w:lang w:eastAsia="hu-HU"/>
        </w:rPr>
      </w:pPr>
      <w:r>
        <w:rPr>
          <w:rFonts w:ascii="Times New Roman" w:hAnsi="Times New Roman"/>
          <w:color w:val="000000"/>
          <w:sz w:val="24"/>
          <w:lang w:eastAsia="hu-HU"/>
        </w:rPr>
        <w:t xml:space="preserve">A roma kisebbségi önkormányzat nem rendelkezik önálló, csak a saját közösségük céljait szolgáló közösségi térrel, de ennek nem is érzik hiányát, mert egyébként is szervesen integrálódtak a település életébe, és rendezvényeik fogadására bármikor rendelkezésükre állnak az egyébként is mindenki számára nyitott középületek valamint a Művelődési Ház. </w:t>
      </w:r>
    </w:p>
    <w:p w:rsidR="00795A46" w:rsidRDefault="00795A46" w:rsidP="00795A46">
      <w:pPr>
        <w:suppressAutoHyphens w:val="0"/>
        <w:autoSpaceDE w:val="0"/>
        <w:autoSpaceDN w:val="0"/>
        <w:adjustRightInd w:val="0"/>
        <w:spacing w:after="120"/>
        <w:ind w:firstLine="426"/>
        <w:rPr>
          <w:rFonts w:ascii="Times New Roman" w:hAnsi="Times New Roman"/>
          <w:color w:val="000000"/>
          <w:sz w:val="24"/>
          <w:lang w:eastAsia="hu-HU"/>
        </w:rPr>
      </w:pPr>
    </w:p>
    <w:p w:rsidR="00795A46" w:rsidRDefault="00795A46" w:rsidP="00795A46">
      <w:pPr>
        <w:suppressAutoHyphens w:val="0"/>
        <w:autoSpaceDE w:val="0"/>
        <w:autoSpaceDN w:val="0"/>
        <w:adjustRightInd w:val="0"/>
        <w:spacing w:after="120"/>
        <w:ind w:firstLine="142"/>
        <w:rPr>
          <w:rFonts w:ascii="Times New Roman" w:hAnsi="Times New Roman"/>
          <w:b/>
          <w:bCs/>
          <w:color w:val="000000"/>
          <w:sz w:val="24"/>
          <w:lang w:eastAsia="hu-HU"/>
        </w:rPr>
      </w:pPr>
      <w:r>
        <w:rPr>
          <w:rFonts w:ascii="Times New Roman" w:hAnsi="Times New Roman"/>
          <w:b/>
          <w:bCs/>
          <w:color w:val="000000"/>
          <w:sz w:val="24"/>
          <w:lang w:eastAsia="hu-HU"/>
        </w:rPr>
        <w:t>e) helyi lakossági önszerveződések</w:t>
      </w: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ind w:firstLine="708"/>
        <w:rPr>
          <w:rFonts w:ascii="Times New Roman" w:hAnsi="Times New Roman"/>
          <w:color w:val="000000"/>
          <w:sz w:val="24"/>
        </w:rPr>
      </w:pPr>
      <w:r>
        <w:rPr>
          <w:rFonts w:ascii="Times New Roman" w:hAnsi="Times New Roman"/>
          <w:color w:val="000000"/>
          <w:sz w:val="24"/>
        </w:rPr>
        <w:t xml:space="preserve">A településen számos civil szervezet működik, közülük több egyesület az önálló nagyrendezvények megszervezésére és lebonyolítására is képes. Az elmúlt tíz évben megfigyelhető a civil szervezetek közötti összefogás a rendezvényszervezésben, tehát már az egyesület a települési önkormányzattal, a kisebbségi önkormányzatokkal vagy több civil szervezet egymással összefogva szervezi és bonyolítja le rendezvényét, és ez az együttműködés hatékonynak is bizonyul, hiszen az érdeklődő közösség egy nagyobb hányadát képes megmozgatni. </w:t>
      </w: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sz w:val="24"/>
        </w:rPr>
        <w:t>3.8 A roma nemzetiségi önkormányzat célcsoportokkal kapcsolatos esélyegyenlőségi tevékenysége, partnersége a települési önkormányzattal</w:t>
      </w:r>
    </w:p>
    <w:p w:rsidR="00795A46" w:rsidRDefault="00795A46" w:rsidP="00795A46">
      <w:pPr>
        <w:rPr>
          <w:rFonts w:ascii="Times New Roman" w:hAnsi="Times New Roman"/>
          <w:sz w:val="24"/>
        </w:rPr>
      </w:pPr>
    </w:p>
    <w:p w:rsidR="00795A46" w:rsidRDefault="00795A46" w:rsidP="00795A46">
      <w:pPr>
        <w:autoSpaceDE w:val="0"/>
        <w:ind w:firstLine="708"/>
        <w:rPr>
          <w:rFonts w:ascii="Times New Roman" w:hAnsi="Times New Roman"/>
          <w:sz w:val="24"/>
        </w:rPr>
      </w:pPr>
      <w:r>
        <w:rPr>
          <w:rFonts w:ascii="Times New Roman" w:hAnsi="Times New Roman"/>
          <w:sz w:val="24"/>
        </w:rPr>
        <w:t>A helyi nemzetiségi önkormányzat kötelező és önként vállalt közfeladatait a nemzetiségek jogairól szóló 2011. évi CLXXIX. törvény 115-116. §-ai rögzítik. A helyi nemzetiségi önkormányzat kötelező közfeladata többek közt a képviselt közösség érdekképviseletével, esélyegyenlőségének megteremtésével kapcsolatos feladatok ellátása, különösen tekintettel a helyi önkormányzatnak a nemzetiségek jogainak érvényesítésével kapcsolatos feladataira. A helyi nemzetiségi önkormányzat önként vállalt feladatot láthat el különösen a nemzetiségi oktatási és kulturális önigazgatással összefüggő ügyekben, a társadalmi felzárkózás, a szociális, ifjúsági, kulturális igazgatás és a közfoglalkoztatás területén, valamint településüzemeltetési és településrendezési feladatok körében.</w:t>
      </w:r>
      <w:bookmarkStart w:id="61" w:name="pr555"/>
      <w:bookmarkStart w:id="62" w:name="pr554"/>
      <w:bookmarkStart w:id="63" w:name="pr553"/>
      <w:bookmarkStart w:id="64" w:name="pr552"/>
      <w:bookmarkStart w:id="65" w:name="pr551"/>
      <w:bookmarkStart w:id="66" w:name="BM116"/>
      <w:bookmarkStart w:id="67" w:name="pr550"/>
      <w:bookmarkStart w:id="68" w:name="pr549"/>
      <w:bookmarkStart w:id="69" w:name="pr548"/>
      <w:bookmarkStart w:id="70" w:name="pr547"/>
      <w:bookmarkStart w:id="71" w:name="pr546"/>
      <w:bookmarkStart w:id="72" w:name="pr545"/>
      <w:bookmarkStart w:id="73" w:name="pr543"/>
      <w:bookmarkStart w:id="74" w:name="pr542"/>
      <w:bookmarkEnd w:id="61"/>
      <w:bookmarkEnd w:id="62"/>
      <w:bookmarkEnd w:id="63"/>
      <w:bookmarkEnd w:id="64"/>
      <w:bookmarkEnd w:id="65"/>
      <w:bookmarkEnd w:id="66"/>
      <w:bookmarkEnd w:id="67"/>
      <w:bookmarkEnd w:id="68"/>
      <w:bookmarkEnd w:id="69"/>
      <w:bookmarkEnd w:id="70"/>
      <w:bookmarkEnd w:id="71"/>
      <w:bookmarkEnd w:id="72"/>
      <w:bookmarkEnd w:id="73"/>
      <w:bookmarkEnd w:id="74"/>
      <w:r>
        <w:rPr>
          <w:rFonts w:ascii="Times New Roman" w:hAnsi="Times New Roman"/>
          <w:sz w:val="24"/>
        </w:rPr>
        <w:t xml:space="preserve"> Csorvás Város Önkormányzata a helyi nemzetiségi önkormányzatok részére - annak székhelyén - biztosítja az önkormányzati működés személyi és tárgyi feltételeit, továbbá gondoskodik a működéssel kapcsolatos végrehajtási feladatok ellátásáról. Csorváson 2006. évtől működik roma önkormányzat.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sz w:val="24"/>
        </w:rPr>
        <w:t>3.9 Következtetések: problémák beazonosítása, fejlesztési lehetőségek meghatározása</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426"/>
        <w:rPr>
          <w:rFonts w:ascii="Times New Roman" w:hAnsi="Times New Roman"/>
          <w:color w:val="000000"/>
          <w:sz w:val="24"/>
        </w:rPr>
      </w:pPr>
      <w:r>
        <w:rPr>
          <w:rFonts w:ascii="Times New Roman" w:hAnsi="Times New Roman"/>
          <w:color w:val="000000"/>
          <w:sz w:val="24"/>
        </w:rPr>
        <w:t>A 2013-as és a 2018-as HEP készítésekor ábrázolt helyzethez képest 2022-ben az alábbi különbségek tapasztalhatók a mélyszegénységben élők és a romák településünkön elfoglalt helyében, társadalmi pozíciójában és integrációs törekvéseikben:</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rPr>
        <w:t xml:space="preserve">2013-ban közel 200 fővel nagyobb volt Csorvás lakosságszáma, mint 2018-ban, és ez a tendencia azóta is tovább romlott, mert 2020-ra további közel 200 fővel csökkent a település lakosságszáma.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rPr>
        <w:t xml:space="preserve">Az aktív korú, 15-64 év közötti állandó népesség csökkenése ugyanilyen mértékű a fenti időszakban.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rPr>
        <w:t>2013 és 2020 között közel másfélszeresére nőtt a regisztrált álláskereső 20 év alattiak száma, a 20-24 év közöttieké azonban a 40%-ára, a 30-40 éveseké pedig kb. 60%-ára csökkent. A 40-50 éves korosztályban a regisztráltak 42 %-ára történő csökkenés volt kimutatható, és az 50-60 évesek között is 40%-ára csökkent az arányuk. Az 59. életévüket betöltöttek körében azután ugrásszerűen megnő az álláskeresők aránya, a 2013 és 2022 közötti években a háromszorosára nőtt.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Az előző HEP-ekben a munkavállalási lehetőségek szűkösségét és az alacsony iskolai végzettség orvoslására „</w:t>
      </w:r>
      <w:r>
        <w:rPr>
          <w:rFonts w:ascii="Times New Roman" w:hAnsi="Times New Roman"/>
          <w:color w:val="000000"/>
          <w:sz w:val="24"/>
        </w:rPr>
        <w:t>Út a munkához” és „Tanulni egy életen át” címmel 2 intézkedést dolgoztunk ki, melyek által fenntartottuk a közfoglalkoztatást, képzési lehetőségeket biztosítottunk.</w:t>
      </w:r>
      <w:r>
        <w:rPr>
          <w:rFonts w:ascii="Times New Roman" w:hAnsi="Times New Roman"/>
          <w:sz w:val="24"/>
        </w:rPr>
        <w:t xml:space="preserve"> E két területet vagy problémát összevontan vinnénk tovább, hiszen a munkanélküliség vagy alacsony iskolázottság sajnos azóta sem szűnt meg.</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9075" w:type="dxa"/>
        <w:tblInd w:w="108" w:type="dxa"/>
        <w:tblLayout w:type="fixed"/>
        <w:tblLook w:val="00A0" w:firstRow="1" w:lastRow="0" w:firstColumn="1" w:lastColumn="0" w:noHBand="0" w:noVBand="0"/>
      </w:tblPr>
      <w:tblGrid>
        <w:gridCol w:w="424"/>
        <w:gridCol w:w="4579"/>
        <w:gridCol w:w="4072"/>
      </w:tblGrid>
      <w:tr w:rsidR="00795A46" w:rsidTr="00795A46">
        <w:tc>
          <w:tcPr>
            <w:tcW w:w="424" w:type="dxa"/>
            <w:tcBorders>
              <w:top w:val="single" w:sz="4" w:space="0" w:color="000000"/>
              <w:left w:val="single" w:sz="4" w:space="0" w:color="000000"/>
              <w:bottom w:val="single" w:sz="4" w:space="0" w:color="000000"/>
              <w:right w:val="single" w:sz="4" w:space="0" w:color="000000"/>
            </w:tcBorders>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sz w:val="24"/>
              </w:rPr>
            </w:pPr>
            <w:bookmarkStart w:id="75" w:name="_Hlk522180766" w:colFirst="1" w:colLast="2"/>
          </w:p>
        </w:tc>
        <w:tc>
          <w:tcPr>
            <w:tcW w:w="8650" w:type="dxa"/>
            <w:gridSpan w:val="2"/>
            <w:tcBorders>
              <w:top w:val="single" w:sz="4" w:space="0" w:color="000000"/>
              <w:left w:val="single" w:sz="4" w:space="0" w:color="000000"/>
              <w:bottom w:val="single" w:sz="4" w:space="0" w:color="000000"/>
              <w:right w:val="single" w:sz="4" w:space="0" w:color="000000"/>
            </w:tcBorders>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b/>
                <w:bCs/>
                <w:i/>
                <w:iCs/>
                <w:color w:val="000000"/>
                <w:sz w:val="24"/>
              </w:rPr>
            </w:pPr>
            <w:r>
              <w:rPr>
                <w:rFonts w:ascii="Times New Roman" w:hAnsi="Times New Roman"/>
                <w:b/>
                <w:bCs/>
                <w:i/>
                <w:iCs/>
                <w:color w:val="000000"/>
                <w:sz w:val="24"/>
              </w:rPr>
              <w:t>A mélyszegénységben élők és a romák helyzete, esélyegyenlősége</w:t>
            </w:r>
          </w:p>
          <w:p w:rsidR="00795A46" w:rsidRDefault="00795A46">
            <w:pPr>
              <w:pStyle w:val="NormlCalibri11"/>
              <w:pBdr>
                <w:top w:val="none" w:sz="0" w:space="0" w:color="auto"/>
                <w:left w:val="none" w:sz="0" w:space="0" w:color="auto"/>
                <w:bottom w:val="none" w:sz="0" w:space="0" w:color="auto"/>
                <w:right w:val="none" w:sz="0" w:space="0" w:color="auto"/>
              </w:pBdr>
              <w:jc w:val="center"/>
              <w:rPr>
                <w:rFonts w:ascii="Times New Roman" w:hAnsi="Times New Roman"/>
                <w:b/>
                <w:bCs/>
                <w:i/>
                <w:iCs/>
                <w:color w:val="000000"/>
                <w:sz w:val="24"/>
              </w:rPr>
            </w:pPr>
          </w:p>
        </w:tc>
      </w:tr>
      <w:tr w:rsidR="00795A46" w:rsidTr="00795A46">
        <w:tc>
          <w:tcPr>
            <w:tcW w:w="424" w:type="dxa"/>
            <w:tcBorders>
              <w:top w:val="single" w:sz="4" w:space="0" w:color="000000"/>
              <w:left w:val="single" w:sz="4" w:space="0" w:color="000000"/>
              <w:bottom w:val="single" w:sz="4" w:space="0" w:color="000000"/>
              <w:right w:val="nil"/>
            </w:tcBorders>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sz w:val="24"/>
              </w:rPr>
            </w:pPr>
          </w:p>
        </w:tc>
        <w:tc>
          <w:tcPr>
            <w:tcW w:w="4578" w:type="dxa"/>
            <w:tcBorders>
              <w:top w:val="single" w:sz="4" w:space="0" w:color="000000"/>
              <w:left w:val="single" w:sz="4" w:space="0" w:color="000000"/>
              <w:bottom w:val="single" w:sz="4" w:space="0" w:color="000000"/>
              <w:right w:val="nil"/>
            </w:tcBorders>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b/>
                <w:bCs/>
                <w:i/>
                <w:iCs/>
                <w:color w:val="000000"/>
                <w:sz w:val="24"/>
              </w:rPr>
            </w:pPr>
            <w:r>
              <w:rPr>
                <w:rFonts w:ascii="Times New Roman" w:hAnsi="Times New Roman"/>
                <w:b/>
                <w:bCs/>
                <w:i/>
                <w:iCs/>
                <w:color w:val="000000"/>
                <w:sz w:val="24"/>
              </w:rPr>
              <w:t>beazonosított problémák</w:t>
            </w:r>
          </w:p>
          <w:p w:rsidR="00795A46" w:rsidRDefault="00795A46">
            <w:pPr>
              <w:pStyle w:val="NormlCalibri11"/>
              <w:pBdr>
                <w:top w:val="none" w:sz="0" w:space="0" w:color="auto"/>
                <w:left w:val="none" w:sz="0" w:space="0" w:color="auto"/>
                <w:bottom w:val="none" w:sz="0" w:space="0" w:color="auto"/>
                <w:right w:val="none" w:sz="0" w:space="0" w:color="auto"/>
              </w:pBdr>
              <w:jc w:val="center"/>
              <w:rPr>
                <w:rFonts w:ascii="Times New Roman" w:hAnsi="Times New Roman"/>
                <w:b/>
                <w:bCs/>
                <w:i/>
                <w:iCs/>
                <w:color w:val="000000"/>
                <w:sz w:val="24"/>
              </w:rPr>
            </w:pPr>
          </w:p>
        </w:tc>
        <w:tc>
          <w:tcPr>
            <w:tcW w:w="4072" w:type="dxa"/>
            <w:tcBorders>
              <w:top w:val="single" w:sz="4" w:space="0" w:color="000000"/>
              <w:left w:val="single" w:sz="4" w:space="0" w:color="000000"/>
              <w:bottom w:val="single" w:sz="4" w:space="0" w:color="000000"/>
              <w:right w:val="single" w:sz="4" w:space="0" w:color="000000"/>
            </w:tcBorders>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b/>
                <w:bCs/>
                <w:i/>
                <w:iCs/>
                <w:color w:val="000000"/>
                <w:sz w:val="24"/>
              </w:rPr>
            </w:pPr>
            <w:r>
              <w:rPr>
                <w:rFonts w:ascii="Times New Roman" w:hAnsi="Times New Roman"/>
                <w:b/>
                <w:bCs/>
                <w:i/>
                <w:iCs/>
                <w:color w:val="000000"/>
                <w:sz w:val="24"/>
              </w:rPr>
              <w:t>fejlesztési lehetőségek</w:t>
            </w:r>
          </w:p>
          <w:p w:rsidR="00795A46" w:rsidRDefault="00795A46">
            <w:pPr>
              <w:pStyle w:val="NormlCalibri11"/>
              <w:pBdr>
                <w:top w:val="none" w:sz="0" w:space="0" w:color="auto"/>
                <w:left w:val="none" w:sz="0" w:space="0" w:color="auto"/>
                <w:bottom w:val="none" w:sz="0" w:space="0" w:color="auto"/>
                <w:right w:val="none" w:sz="0" w:space="0" w:color="auto"/>
              </w:pBdr>
              <w:jc w:val="center"/>
              <w:rPr>
                <w:rFonts w:ascii="Times New Roman" w:hAnsi="Times New Roman"/>
                <w:b/>
                <w:bCs/>
                <w:i/>
                <w:iCs/>
                <w:color w:val="000000"/>
                <w:sz w:val="24"/>
              </w:rPr>
            </w:pPr>
          </w:p>
        </w:tc>
      </w:tr>
      <w:tr w:rsidR="00795A46" w:rsidTr="00795A46">
        <w:tc>
          <w:tcPr>
            <w:tcW w:w="424"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1.</w:t>
            </w:r>
          </w:p>
        </w:tc>
        <w:tc>
          <w:tcPr>
            <w:tcW w:w="457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A hátrányos helyzetű családokban nevelkedő gyermekek ingerszegény környezetben élnek, hiányzó szociális kompetenciák érzékelhetőek</w:t>
            </w:r>
          </w:p>
        </w:tc>
        <w:tc>
          <w:tcPr>
            <w:tcW w:w="4072"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Biztos Kezdet Gyerekház létrehozása pályázati forrás elérhetősége esetén</w:t>
            </w:r>
          </w:p>
        </w:tc>
      </w:tr>
      <w:tr w:rsidR="00795A46" w:rsidTr="00795A46">
        <w:tc>
          <w:tcPr>
            <w:tcW w:w="424"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2.</w:t>
            </w:r>
          </w:p>
        </w:tc>
        <w:tc>
          <w:tcPr>
            <w:tcW w:w="457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A munkavállalási lehetőségek szűkösek</w:t>
            </w:r>
          </w:p>
        </w:tc>
        <w:tc>
          <w:tcPr>
            <w:tcW w:w="4072"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Képzések, átképzések, munkaerőpiaci szolgáltatás, információk elérhetővé tétele, valamint a közfoglalkoztatás „helyi húzóágazatainak” fenntartása: pl. seprűkötés, drótfonás, téglagyártás és szőnyegszövés. Fontosnak tartjuk a közétkeztetés céljára felvásárolható mezőgazdasági termékek termelésének újraindítását is, amellyel munkahelyet és élelmiszer-alapanyagot is létrehozhatunk.</w:t>
            </w:r>
          </w:p>
        </w:tc>
      </w:tr>
      <w:tr w:rsidR="00795A46" w:rsidTr="00795A46">
        <w:tc>
          <w:tcPr>
            <w:tcW w:w="424"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3.</w:t>
            </w:r>
          </w:p>
        </w:tc>
        <w:tc>
          <w:tcPr>
            <w:tcW w:w="457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Eladósodottság, hátrányos helyzet generációkon keresztüli átöröklődése</w:t>
            </w:r>
          </w:p>
        </w:tc>
        <w:tc>
          <w:tcPr>
            <w:tcW w:w="4072"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Életvezetési tanácsadás, tanulás ösztönzése</w:t>
            </w:r>
          </w:p>
        </w:tc>
      </w:tr>
      <w:tr w:rsidR="00795A46" w:rsidTr="00795A46">
        <w:tc>
          <w:tcPr>
            <w:tcW w:w="424"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sz w:val="24"/>
              </w:rPr>
            </w:pPr>
            <w:r>
              <w:rPr>
                <w:rFonts w:ascii="Times New Roman" w:hAnsi="Times New Roman"/>
                <w:sz w:val="24"/>
              </w:rPr>
              <w:t>4.</w:t>
            </w:r>
          </w:p>
        </w:tc>
        <w:tc>
          <w:tcPr>
            <w:tcW w:w="457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sz w:val="24"/>
              </w:rPr>
            </w:pPr>
            <w:r>
              <w:rPr>
                <w:rFonts w:ascii="Times New Roman" w:hAnsi="Times New Roman"/>
                <w:sz w:val="24"/>
              </w:rPr>
              <w:t>Magas a 8 általánosnál magasabb iskolai végzettségű álláskeresők aránya</w:t>
            </w:r>
          </w:p>
        </w:tc>
        <w:tc>
          <w:tcPr>
            <w:tcW w:w="4072"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sz w:val="24"/>
              </w:rPr>
            </w:pPr>
            <w:r>
              <w:rPr>
                <w:rFonts w:ascii="Times New Roman" w:hAnsi="Times New Roman"/>
                <w:sz w:val="24"/>
              </w:rPr>
              <w:t>Önérvényesítő tréningek szervezése, a képzési lehetőségek bemutatása</w:t>
            </w:r>
          </w:p>
        </w:tc>
      </w:tr>
      <w:tr w:rsidR="00795A46" w:rsidTr="00795A46">
        <w:tc>
          <w:tcPr>
            <w:tcW w:w="424"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5.</w:t>
            </w:r>
          </w:p>
        </w:tc>
        <w:tc>
          <w:tcPr>
            <w:tcW w:w="457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A szociálisan rászoruló családok gyermekeinek és a szociális étkeztetésre szoruló lakosoknak az otthoni élelmiszer-ellátottsága nem kielégítő.</w:t>
            </w:r>
          </w:p>
        </w:tc>
        <w:tc>
          <w:tcPr>
            <w:tcW w:w="4072"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 xml:space="preserve">A közétkeztetés korszerűsítése: település napközi konyhájának felújítása, technológiai és energetikai korszerűsítése a hatékonyabb ellátásért és a megnövekedett kapacitás-igények kiszolgálására </w:t>
            </w:r>
          </w:p>
        </w:tc>
      </w:tr>
      <w:tr w:rsidR="00795A46" w:rsidTr="00795A46">
        <w:tc>
          <w:tcPr>
            <w:tcW w:w="424"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6.</w:t>
            </w:r>
          </w:p>
        </w:tc>
        <w:tc>
          <w:tcPr>
            <w:tcW w:w="457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A települési születésszám növekszik, közöttük leginkább azon mélyszegénységben élő, sokgyermekes családok gyermekeinek száma nő, akiket szociális helyzetüknél fogva minél hamarabb az integrált nevelési-oktatási intézményünkbe kell befogadnunk.</w:t>
            </w:r>
          </w:p>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A születésszám és az óvodakötelesek számának dinamikus növekedésével ugyanis kapacitáshiány lépett fel a településen.</w:t>
            </w:r>
          </w:p>
        </w:tc>
        <w:tc>
          <w:tcPr>
            <w:tcW w:w="4072"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Sürgősen szükség van egy új csoportszobára önkormányzati óvodánk István király utcai feladatellátási helyén a 3 évesek kötelező óvodai nevelésének feladatellátása céljából.</w:t>
            </w:r>
          </w:p>
        </w:tc>
      </w:tr>
      <w:tr w:rsidR="00795A46" w:rsidTr="00795A46">
        <w:tc>
          <w:tcPr>
            <w:tcW w:w="424"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7.</w:t>
            </w:r>
          </w:p>
        </w:tc>
        <w:tc>
          <w:tcPr>
            <w:tcW w:w="457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A mélyszegénységben élők környezetkultúrája edukációra szorul: javítaniuk kell pl. saját lakókörnyezetük állapotán, és az ehhez szükséges forrásokkal nem rendelkeznek. Tapasztalatunk, hogy a közfoglalkoztatásban résztvevők a közterületek szépítésével, ápolásával-gondozásával és a települési fásítással nemcsak új kompetenciákra, hanem új ösztönzőkre is szert tettek: saját lakókörnyezetük alakulására is hatással lett a feladatellátásuk során elvárt igényesség, amelyhez nem kellett komoly anyagi forrásokat befektetniük.</w:t>
            </w:r>
          </w:p>
        </w:tc>
        <w:tc>
          <w:tcPr>
            <w:tcW w:w="4072"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A közfoglakoztatottak edukálására is szolgál a település felszíni csapadékvíz-elvezető árokrendszerének megújítása, amely hatással lehetne a munkát végzők saját otthonának csapadékvíz-elvezetésére és belvízmentesítésére. Ez az egészségi állapotukon is sokat javítana, mert csökkenne gyermekeik között az asztmások száma (e problémával később azután a helyi gyermek-egészségügy és a nevelési-oktatási intézmény is küzd, a felszámolása pedig kizárólag a személyek lakókörnyezetének egészségesebbé tételével együtt értelmezhető). Az ehhez vezető legrövidebb út a települési közműrendszerek problémáinak megoldása úgy, hogy munkához juttassuk a mélyszegénységben élőket, akik munkavégzésük közben tájékozódnak a témában, és ez jó hatással lesz lakókörnyezetükre is.</w:t>
            </w:r>
          </w:p>
        </w:tc>
      </w:tr>
      <w:tr w:rsidR="00795A46" w:rsidTr="00795A46">
        <w:tc>
          <w:tcPr>
            <w:tcW w:w="424"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8.</w:t>
            </w:r>
          </w:p>
        </w:tc>
        <w:tc>
          <w:tcPr>
            <w:tcW w:w="457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Több helyi közlekedési útburkolatunk, járdánk állapota még ma is elmarad a kívánatostól, ez ront a közlekedési lehetőségeken, hiszen a rossz úthálózaton nehezebb eljutni a munkába vagy az iskolába.</w:t>
            </w:r>
          </w:p>
        </w:tc>
        <w:tc>
          <w:tcPr>
            <w:tcW w:w="4072"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Szükséges több önkormányzati utunk burkolatának korszerűsítése, ilyenek pl. az Arany János, a Hóvirág, a Mikszáth, és az Október 6. utca. Szükséges a járdaépítés folytatása is, valamint foglalkoznunk kell a még útalappal sem rendelkező utcák lakóút-terveinek elkészítésével is.</w:t>
            </w:r>
          </w:p>
        </w:tc>
      </w:tr>
      <w:tr w:rsidR="001B5F81" w:rsidTr="00795A46">
        <w:tc>
          <w:tcPr>
            <w:tcW w:w="424" w:type="dxa"/>
            <w:tcBorders>
              <w:top w:val="single" w:sz="4" w:space="0" w:color="000000"/>
              <w:left w:val="single" w:sz="4" w:space="0" w:color="000000"/>
              <w:bottom w:val="single" w:sz="4" w:space="0" w:color="000000"/>
              <w:right w:val="nil"/>
            </w:tcBorders>
          </w:tcPr>
          <w:p w:rsidR="001B5F81" w:rsidRDefault="001B5F81" w:rsidP="00F85A9F">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sidRPr="00F85A9F">
              <w:rPr>
                <w:rFonts w:ascii="Times New Roman" w:hAnsi="Times New Roman"/>
                <w:color w:val="0070C0"/>
                <w:sz w:val="24"/>
              </w:rPr>
              <w:t>9.</w:t>
            </w:r>
          </w:p>
        </w:tc>
        <w:tc>
          <w:tcPr>
            <w:tcW w:w="4578" w:type="dxa"/>
            <w:tcBorders>
              <w:top w:val="single" w:sz="4" w:space="0" w:color="000000"/>
              <w:left w:val="single" w:sz="4" w:space="0" w:color="000000"/>
              <w:bottom w:val="single" w:sz="4" w:space="0" w:color="000000"/>
              <w:right w:val="nil"/>
            </w:tcBorders>
          </w:tcPr>
          <w:p w:rsidR="001B5F81" w:rsidRPr="001B5F81" w:rsidRDefault="001B5F81" w:rsidP="001B5F81">
            <w:pPr>
              <w:suppressAutoHyphens w:val="0"/>
              <w:jc w:val="left"/>
              <w:rPr>
                <w:rFonts w:ascii="Times New Roman" w:eastAsia="Calibri" w:hAnsi="Times New Roman"/>
                <w:color w:val="0070C0"/>
                <w:szCs w:val="22"/>
                <w:lang w:eastAsia="en-US"/>
                <w14:ligatures w14:val="standardContextual"/>
              </w:rPr>
            </w:pPr>
            <w:r w:rsidRPr="001B5F81">
              <w:rPr>
                <w:rFonts w:ascii="Times New Roman" w:eastAsia="Calibri" w:hAnsi="Times New Roman"/>
                <w:color w:val="0070C0"/>
                <w:szCs w:val="22"/>
                <w:lang w:eastAsia="en-US"/>
                <w14:ligatures w14:val="standardContextual"/>
              </w:rPr>
              <w:t>A városi programlehetőségek tartalmi és mennyiségi vonatkozásban további fejlesztést igényelnek, és növelni kell a civil szervezetek valamint a lakosság szerepvállalását is a rendezvénykínálat megvalósításában.</w:t>
            </w:r>
            <w:r w:rsidRPr="001B5F81">
              <w:rPr>
                <w:rFonts w:ascii="Times New Roman" w:eastAsia="Calibri" w:hAnsi="Times New Roman"/>
                <w:b/>
                <w:color w:val="0070C0"/>
                <w:szCs w:val="22"/>
                <w:lang w:eastAsia="en-US"/>
                <w14:ligatures w14:val="standardContextual"/>
              </w:rPr>
              <w:t xml:space="preserve"> </w:t>
            </w:r>
            <w:r w:rsidRPr="001B5F81">
              <w:rPr>
                <w:rFonts w:ascii="Times New Roman" w:eastAsia="Calibri" w:hAnsi="Times New Roman"/>
                <w:color w:val="0070C0"/>
                <w:szCs w:val="22"/>
                <w:lang w:eastAsia="en-US"/>
                <w14:ligatures w14:val="standardContextual"/>
              </w:rPr>
              <w:t>A programkínálat minőségi és mennyiségi tulajdonságainak javítása érdekében annak kiterjesztésére, továbbá a társadalmi aktivitás ösztönzésére lenne szükség.</w:t>
            </w:r>
          </w:p>
          <w:p w:rsidR="001B5F81" w:rsidRDefault="001B5F81" w:rsidP="001B5F81">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sidRPr="001B5F81">
              <w:rPr>
                <w:rFonts w:ascii="Times New Roman" w:eastAsia="Calibri" w:hAnsi="Times New Roman"/>
                <w:color w:val="0070C0"/>
                <w:szCs w:val="22"/>
                <w:lang w:eastAsia="en-US"/>
                <w14:ligatures w14:val="standardContextual"/>
              </w:rPr>
              <w:t>A bővülő programlehetőségek, a szociális tevékenységek iránti megnövekedett társadalmi igények újabb közösségi és neutrális terek kialakítását, valamint a meglévők bővítését, és minőségi tartalommal való megtöltését indokolják. Kijelenthető tehát, hogy az azonosított problémák között igen nagy fajsúllyal jelent meg a közösségi terek kulturális-infrastrukturális deficite.</w:t>
            </w:r>
          </w:p>
        </w:tc>
        <w:tc>
          <w:tcPr>
            <w:tcW w:w="4072" w:type="dxa"/>
            <w:tcBorders>
              <w:top w:val="single" w:sz="4" w:space="0" w:color="000000"/>
              <w:left w:val="single" w:sz="4" w:space="0" w:color="000000"/>
              <w:bottom w:val="single" w:sz="4" w:space="0" w:color="000000"/>
              <w:right w:val="single" w:sz="4" w:space="0" w:color="000000"/>
            </w:tcBorders>
          </w:tcPr>
          <w:p w:rsidR="001B5F81" w:rsidRDefault="001B5F81">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sidRPr="007360E2">
              <w:rPr>
                <w:rFonts w:ascii="Times New Roman" w:eastAsia="Calibri" w:hAnsi="Times New Roman"/>
                <w:color w:val="0070C0"/>
                <w:szCs w:val="22"/>
                <w:lang w:eastAsia="en-US"/>
                <w14:ligatures w14:val="standardContextual"/>
              </w:rPr>
              <w:t>A mélyszegénységben élőket és a romákat érintő kulturális, közösségi, szociális, munkaerő-piaci, bűnmegelőzési, mentálhigiénés egészségmegőrző és egyéb, a társadalmat aktuálisan érintő témájú programok kínálatának színesítése, annak érdekében, hogy mindenki megtalálja saját maga és környezete számára a legalkalmasabb programot, legyen szó workshopról, kiállításról, tanácsadásról, falunapról, segítő szolgáltatásról.</w:t>
            </w:r>
          </w:p>
        </w:tc>
      </w:tr>
      <w:bookmarkEnd w:id="75"/>
    </w:tbl>
    <w:p w:rsidR="00795A46" w:rsidRDefault="00795A46" w:rsidP="00795A46">
      <w:pPr>
        <w:rPr>
          <w:rFonts w:cs="Calibri"/>
          <w:szCs w:val="22"/>
        </w:rPr>
      </w:pPr>
    </w:p>
    <w:p w:rsidR="00795A46" w:rsidRDefault="00795A46">
      <w:pPr>
        <w:suppressAutoHyphens w:val="0"/>
        <w:spacing w:after="160" w:line="259" w:lineRule="auto"/>
        <w:jc w:val="left"/>
      </w:pPr>
      <w:r>
        <w:br w:type="page"/>
      </w:r>
    </w:p>
    <w:p w:rsidR="00795A46" w:rsidRDefault="00795A46" w:rsidP="00795A46">
      <w:pPr>
        <w:pStyle w:val="Cmsor3"/>
        <w:pageBreakBefore/>
        <w:rPr>
          <w:rFonts w:ascii="Times New Roman" w:hAnsi="Times New Roman"/>
          <w:szCs w:val="24"/>
        </w:rPr>
      </w:pPr>
      <w:bookmarkStart w:id="76" w:name="_Toc119566838"/>
      <w:r>
        <w:rPr>
          <w:rFonts w:ascii="Times New Roman" w:hAnsi="Times New Roman"/>
        </w:rPr>
        <w:t>4. A gyermekek helyzete, esélyegyenlősége, gyermekszegénység</w:t>
      </w:r>
      <w:bookmarkEnd w:id="76"/>
    </w:p>
    <w:p w:rsidR="00795A46" w:rsidRDefault="00795A46" w:rsidP="00795A46">
      <w:pPr>
        <w:pStyle w:val="NormlWeb"/>
        <w:spacing w:before="0" w:after="0"/>
        <w:ind w:right="150" w:firstLine="709"/>
        <w:rPr>
          <w:rFonts w:ascii="Times New Roman" w:hAnsi="Times New Roman" w:cs="Times New Roman"/>
          <w:sz w:val="24"/>
          <w:szCs w:val="24"/>
        </w:rPr>
      </w:pPr>
    </w:p>
    <w:p w:rsidR="00795A46" w:rsidRDefault="00795A46" w:rsidP="00795A46">
      <w:pPr>
        <w:pStyle w:val="NormlWeb"/>
        <w:spacing w:before="0" w:after="0"/>
        <w:ind w:right="150" w:firstLine="709"/>
        <w:rPr>
          <w:rFonts w:ascii="Times New Roman" w:hAnsi="Times New Roman" w:cs="Times New Roman"/>
          <w:color w:val="000000"/>
          <w:sz w:val="24"/>
          <w:szCs w:val="24"/>
        </w:rPr>
      </w:pPr>
      <w:r>
        <w:rPr>
          <w:rFonts w:ascii="Times New Roman" w:hAnsi="Times New Roman" w:cs="Times New Roman"/>
          <w:sz w:val="24"/>
          <w:szCs w:val="24"/>
        </w:rPr>
        <w:t>A Magyar Országgyűlés 1991. évi LXIV. törvényében kihirdette a Gyermekek Jogairól szóló ENSZ Egyezményt, majd elfogadta a 47/2007. (V. 31.) sz. határozatával a „Legyen Jobb a Gyermekeknek 2007-2032” Nemzeti Stratégiát. A dokumentum fő célja volt, hogy csökkentse a gyermekek és családjaik nélkülözését, javítsa a gyermekek fejlődési esélyeit.</w:t>
      </w:r>
      <w:r>
        <w:rPr>
          <w:rFonts w:ascii="Times New Roman" w:hAnsi="Times New Roman" w:cs="Times New Roman"/>
          <w:color w:val="000000"/>
          <w:sz w:val="24"/>
          <w:szCs w:val="24"/>
        </w:rPr>
        <w:t xml:space="preserve"> Ez minden gyermekre kiterjed, de azokra a gyermekekre kell hangsúlyt helyezni, akiknek érdekei a legjobban sérülnek.</w:t>
      </w:r>
    </w:p>
    <w:p w:rsidR="00795A46" w:rsidRDefault="00795A46" w:rsidP="00795A46">
      <w:pPr>
        <w:pStyle w:val="NormlWeb"/>
        <w:spacing w:before="0" w:after="0"/>
        <w:ind w:right="150"/>
        <w:rPr>
          <w:rFonts w:ascii="Times New Roman" w:hAnsi="Times New Roman" w:cs="Times New Roman"/>
          <w:sz w:val="24"/>
          <w:szCs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A gyermekek helyzetének elemzéséhez kapcsolódó definíciók és szabályozás:</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b/>
          <w:bCs/>
          <w:sz w:val="24"/>
        </w:rPr>
        <w:t>Veszélyeztetettség</w:t>
      </w:r>
      <w:r>
        <w:rPr>
          <w:rFonts w:ascii="Times New Roman" w:hAnsi="Times New Roman"/>
          <w:sz w:val="24"/>
        </w:rPr>
        <w:t>: olyan – a gyermek vagy más személy által tanúsított – magatartás, mulasztás vagy körülmény következtében kialakult állapot, amely a gyermek testi, értelmi, érzelmi vagy erkölcsi fejlődését gátolja vagy akadályozza (Gyvt. 5. § n) pont)</w:t>
      </w:r>
    </w:p>
    <w:p w:rsidR="00795A46" w:rsidRDefault="00795A46" w:rsidP="00795A46">
      <w:pPr>
        <w:pStyle w:val="NormlCalibri11"/>
        <w:pBdr>
          <w:top w:val="none" w:sz="0" w:space="0" w:color="auto"/>
          <w:left w:val="none" w:sz="0" w:space="0" w:color="auto"/>
          <w:bottom w:val="none" w:sz="0" w:space="0" w:color="auto"/>
          <w:right w:val="none" w:sz="0" w:space="0" w:color="auto"/>
        </w:pBdr>
        <w:rPr>
          <w:rStyle w:val="StlusNormlCalibri1111ptChar"/>
          <w:rFonts w:ascii="Times New Roman" w:hAnsi="Times New Roman" w:cs="Times New Roman"/>
          <w:b w:val="0"/>
          <w:bCs w:val="0"/>
        </w:rPr>
      </w:pPr>
      <w:r>
        <w:rPr>
          <w:rFonts w:ascii="Times New Roman" w:hAnsi="Times New Roman"/>
          <w:sz w:val="24"/>
        </w:rPr>
        <w:t xml:space="preserve">A </w:t>
      </w:r>
      <w:r>
        <w:rPr>
          <w:rFonts w:ascii="Times New Roman" w:hAnsi="Times New Roman"/>
          <w:b/>
          <w:bCs/>
          <w:sz w:val="24"/>
        </w:rPr>
        <w:t>védelembe vétel</w:t>
      </w:r>
      <w:r>
        <w:rPr>
          <w:rFonts w:ascii="Times New Roman" w:hAnsi="Times New Roman"/>
          <w:sz w:val="24"/>
        </w:rPr>
        <w:t xml:space="preserve"> a gyermekvédelmi gondoskodás keretébe tartozó hatósági intézkedés. A kialakult veszélyeztetettség megszüntetése érdekében a gyermek védelembe vétele a gyermekjóléti szolgáltatás feladata. Ha a szülő vagy más törvényes képviselő a gyermek veszélyeztetettségét az alapellátások önkéntes igénybevételével megszüntetni nem tudja, vagy nem akarja, de alaposan feltételezhető, hogy segítséggel a gyermek fejlődése a családi </w:t>
      </w:r>
      <w:r>
        <w:rPr>
          <w:rFonts w:ascii="Times New Roman" w:hAnsi="Times New Roman"/>
          <w:b/>
          <w:bCs/>
          <w:sz w:val="24"/>
        </w:rPr>
        <w:t>kö</w:t>
      </w:r>
      <w:r>
        <w:rPr>
          <w:rStyle w:val="StlusNormlCalibri1111ptChar"/>
          <w:rFonts w:ascii="Times New Roman" w:hAnsi="Times New Roman" w:cs="Times New Roman"/>
          <w:b w:val="0"/>
          <w:bCs w:val="0"/>
        </w:rPr>
        <w:t>rnyezetben mégis biztosítható, a gyámhatóság a gyermeket védelembe veszi.</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cs="Calibri"/>
          <w:szCs w:val="22"/>
        </w:rPr>
      </w:pPr>
      <w:r>
        <w:rPr>
          <w:rFonts w:ascii="Times New Roman" w:hAnsi="Times New Roman"/>
          <w:sz w:val="24"/>
        </w:rPr>
        <w:t>A gyermekek védelme a gyermek családban történő nevelkedésének elősegítésére, veszélyeztetettségének megelőzésére és megszüntetésére,</w:t>
      </w:r>
      <w:r>
        <w:rPr>
          <w:rStyle w:val="StlusNormlCalibri1111ptChar"/>
          <w:rFonts w:ascii="Times New Roman" w:hAnsi="Times New Roman" w:cs="Times New Roman"/>
        </w:rPr>
        <w:t xml:space="preserve"> valamint a szülői vagy más hozzátartozói gondoskodásból kikerülő gyermek helyettesítő védelmének biztosítására irányuló tevékenység. A gyermekek védelmét pénzbeli, természetbeni és személyes gondoskodást nyújtó gyermekjóléti alapellátások </w:t>
      </w:r>
      <w:r>
        <w:rPr>
          <w:rFonts w:ascii="Times New Roman" w:hAnsi="Times New Roman"/>
          <w:sz w:val="24"/>
        </w:rPr>
        <w:t xml:space="preserve">biztosítják.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Csorváson az alábbi ellátások vehetők igénybe:</w:t>
      </w:r>
    </w:p>
    <w:p w:rsidR="00795A46" w:rsidRDefault="00795A46" w:rsidP="00795A46">
      <w:pPr>
        <w:rPr>
          <w:rFonts w:ascii="Times New Roman" w:hAnsi="Times New Roman"/>
          <w:sz w:val="24"/>
        </w:rPr>
      </w:pPr>
    </w:p>
    <w:p w:rsidR="00795A46" w:rsidRDefault="00795A46" w:rsidP="00795A46">
      <w:pPr>
        <w:pStyle w:val="NormlWeb"/>
        <w:numPr>
          <w:ilvl w:val="0"/>
          <w:numId w:val="14"/>
        </w:numPr>
        <w:spacing w:before="0" w:after="0"/>
        <w:rPr>
          <w:rFonts w:ascii="Times New Roman" w:hAnsi="Times New Roman" w:cs="Times New Roman"/>
          <w:sz w:val="24"/>
          <w:szCs w:val="24"/>
        </w:rPr>
      </w:pPr>
      <w:r>
        <w:rPr>
          <w:rFonts w:ascii="Times New Roman" w:hAnsi="Times New Roman" w:cs="Times New Roman"/>
          <w:sz w:val="24"/>
          <w:szCs w:val="24"/>
          <w:u w:val="single"/>
        </w:rPr>
        <w:t>Pénzbeli és természetbeni ellátások</w:t>
      </w:r>
      <w:r>
        <w:rPr>
          <w:rFonts w:ascii="Times New Roman" w:hAnsi="Times New Roman" w:cs="Times New Roman"/>
          <w:sz w:val="24"/>
          <w:szCs w:val="24"/>
        </w:rPr>
        <w:t>:</w:t>
      </w:r>
    </w:p>
    <w:p w:rsidR="00795A46" w:rsidRDefault="00795A46" w:rsidP="00795A46">
      <w:pPr>
        <w:pStyle w:val="NormlWeb"/>
        <w:spacing w:before="0" w:after="0"/>
        <w:ind w:left="567"/>
        <w:rPr>
          <w:rFonts w:ascii="Times New Roman" w:hAnsi="Times New Roman" w:cs="Times New Roman"/>
          <w:sz w:val="24"/>
          <w:szCs w:val="24"/>
        </w:rPr>
      </w:pPr>
      <w:r>
        <w:rPr>
          <w:rFonts w:ascii="Times New Roman" w:hAnsi="Times New Roman" w:cs="Times New Roman"/>
          <w:sz w:val="24"/>
          <w:szCs w:val="24"/>
        </w:rPr>
        <w:t>- a rendszeres gyermekvédelmi kedvezmény,</w:t>
      </w:r>
    </w:p>
    <w:p w:rsidR="00795A46" w:rsidRDefault="00795A46" w:rsidP="00795A46">
      <w:pPr>
        <w:pStyle w:val="NormlWeb"/>
        <w:spacing w:before="0" w:after="0"/>
        <w:ind w:firstLine="567"/>
        <w:rPr>
          <w:rFonts w:ascii="Times New Roman" w:hAnsi="Times New Roman" w:cs="Times New Roman"/>
          <w:sz w:val="24"/>
          <w:szCs w:val="24"/>
        </w:rPr>
      </w:pPr>
      <w:r>
        <w:rPr>
          <w:rFonts w:ascii="Times New Roman" w:hAnsi="Times New Roman" w:cs="Times New Roman"/>
          <w:sz w:val="24"/>
          <w:szCs w:val="24"/>
        </w:rPr>
        <w:t>- lakhatási települési támogatás,</w:t>
      </w:r>
    </w:p>
    <w:p w:rsidR="00795A46" w:rsidRDefault="00795A46" w:rsidP="00795A46">
      <w:pPr>
        <w:pStyle w:val="NormlWeb"/>
        <w:spacing w:before="0" w:after="0"/>
        <w:ind w:left="567"/>
        <w:rPr>
          <w:rFonts w:ascii="Times New Roman" w:hAnsi="Times New Roman" w:cs="Times New Roman"/>
          <w:sz w:val="24"/>
          <w:szCs w:val="24"/>
        </w:rPr>
      </w:pPr>
      <w:r>
        <w:rPr>
          <w:rFonts w:ascii="Times New Roman" w:hAnsi="Times New Roman" w:cs="Times New Roman"/>
          <w:sz w:val="24"/>
          <w:szCs w:val="24"/>
        </w:rPr>
        <w:t>- születési települési támogatás,</w:t>
      </w:r>
    </w:p>
    <w:p w:rsidR="00795A46" w:rsidRDefault="00795A46" w:rsidP="00795A46">
      <w:pPr>
        <w:pStyle w:val="NormlWeb"/>
        <w:spacing w:before="0" w:after="0"/>
        <w:ind w:left="567"/>
        <w:rPr>
          <w:rFonts w:ascii="Times New Roman" w:hAnsi="Times New Roman" w:cs="Times New Roman"/>
          <w:sz w:val="24"/>
          <w:szCs w:val="24"/>
        </w:rPr>
      </w:pPr>
      <w:r>
        <w:rPr>
          <w:rFonts w:ascii="Times New Roman" w:hAnsi="Times New Roman" w:cs="Times New Roman"/>
          <w:sz w:val="24"/>
          <w:szCs w:val="24"/>
        </w:rPr>
        <w:t>- speciális nevelési igénye</w:t>
      </w:r>
      <w:r>
        <w:rPr>
          <w:rFonts w:ascii="Times New Roman" w:hAnsi="Times New Roman" w:cs="Times New Roman"/>
          <w:color w:val="00B050"/>
          <w:sz w:val="24"/>
          <w:szCs w:val="24"/>
        </w:rPr>
        <w:t xml:space="preserve"> </w:t>
      </w:r>
      <w:r>
        <w:rPr>
          <w:rFonts w:ascii="Times New Roman" w:hAnsi="Times New Roman" w:cs="Times New Roman"/>
          <w:sz w:val="24"/>
          <w:szCs w:val="24"/>
        </w:rPr>
        <w:t>miatt vidéki köznevelési intézményben tanuló, és speciális utazási szükségletű gyermek köznevelési intézménybe való eljutásához közlekedési támogatásként igényelhető települési támogatás,</w:t>
      </w:r>
    </w:p>
    <w:p w:rsidR="00795A46" w:rsidRDefault="00795A46" w:rsidP="00795A46">
      <w:pPr>
        <w:pStyle w:val="NormlWeb"/>
        <w:spacing w:before="0" w:after="0"/>
        <w:ind w:left="567"/>
        <w:rPr>
          <w:rFonts w:ascii="Times New Roman" w:hAnsi="Times New Roman" w:cs="Times New Roman"/>
          <w:sz w:val="24"/>
          <w:szCs w:val="24"/>
        </w:rPr>
      </w:pPr>
      <w:r>
        <w:rPr>
          <w:rFonts w:ascii="Times New Roman" w:hAnsi="Times New Roman" w:cs="Times New Roman"/>
          <w:sz w:val="24"/>
          <w:szCs w:val="24"/>
        </w:rPr>
        <w:t>- települési támogatás adható természetben is, pl. a fűtési nehézségek enyhítésére biztosított tüzelőanyag.</w:t>
      </w:r>
    </w:p>
    <w:p w:rsidR="00795A46" w:rsidRDefault="00795A46" w:rsidP="00795A46">
      <w:pPr>
        <w:pStyle w:val="NormlWeb"/>
        <w:spacing w:before="0" w:after="0"/>
        <w:ind w:left="567"/>
        <w:rPr>
          <w:rFonts w:ascii="Times New Roman" w:hAnsi="Times New Roman" w:cs="Times New Roman"/>
          <w:color w:val="000000"/>
          <w:sz w:val="24"/>
          <w:szCs w:val="24"/>
        </w:rPr>
      </w:pPr>
      <w:r>
        <w:rPr>
          <w:rFonts w:ascii="Times New Roman" w:hAnsi="Times New Roman" w:cs="Times New Roman"/>
          <w:color w:val="000000"/>
          <w:sz w:val="24"/>
          <w:szCs w:val="24"/>
        </w:rPr>
        <w:t>- intézményi gyermekétkeztetés</w:t>
      </w:r>
    </w:p>
    <w:p w:rsidR="00795A46" w:rsidRDefault="00795A46" w:rsidP="00795A46">
      <w:pPr>
        <w:pStyle w:val="NormlWeb"/>
        <w:spacing w:before="0" w:after="0"/>
        <w:ind w:left="567"/>
        <w:rPr>
          <w:rFonts w:ascii="Times New Roman" w:hAnsi="Times New Roman" w:cs="Times New Roman"/>
          <w:color w:val="000000"/>
          <w:sz w:val="24"/>
          <w:szCs w:val="24"/>
        </w:rPr>
      </w:pPr>
      <w:r>
        <w:rPr>
          <w:rFonts w:ascii="Times New Roman" w:hAnsi="Times New Roman" w:cs="Times New Roman"/>
          <w:color w:val="000000"/>
          <w:sz w:val="24"/>
          <w:szCs w:val="24"/>
        </w:rPr>
        <w:t>- szünidei gyermekétkeztetés</w:t>
      </w:r>
    </w:p>
    <w:p w:rsidR="00795A46" w:rsidRDefault="00795A46" w:rsidP="00795A46">
      <w:pPr>
        <w:pStyle w:val="NormlWeb"/>
        <w:spacing w:before="0" w:after="0"/>
        <w:rPr>
          <w:rFonts w:ascii="Times New Roman" w:hAnsi="Times New Roman" w:cs="Times New Roman"/>
          <w:sz w:val="24"/>
          <w:szCs w:val="24"/>
        </w:rPr>
      </w:pPr>
    </w:p>
    <w:p w:rsidR="00795A46" w:rsidRDefault="00795A46" w:rsidP="00795A46">
      <w:pPr>
        <w:pStyle w:val="NormlWeb"/>
        <w:numPr>
          <w:ilvl w:val="0"/>
          <w:numId w:val="15"/>
        </w:numPr>
        <w:spacing w:before="0"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Pr>
          <w:rFonts w:ascii="Times New Roman" w:hAnsi="Times New Roman" w:cs="Times New Roman"/>
          <w:color w:val="000000"/>
          <w:sz w:val="24"/>
          <w:szCs w:val="24"/>
          <w:u w:val="single"/>
        </w:rPr>
        <w:t>személyes gondoskodás keretébe tartozó gyermekek napközbeni ellátása</w:t>
      </w:r>
      <w:r>
        <w:rPr>
          <w:rFonts w:ascii="Times New Roman" w:hAnsi="Times New Roman" w:cs="Times New Roman"/>
          <w:color w:val="000000"/>
          <w:sz w:val="24"/>
          <w:szCs w:val="24"/>
        </w:rPr>
        <w:t xml:space="preserve"> keretében: </w:t>
      </w:r>
    </w:p>
    <w:p w:rsidR="00795A46" w:rsidRDefault="00795A46" w:rsidP="00795A46">
      <w:pPr>
        <w:pStyle w:val="NormlWeb"/>
        <w:numPr>
          <w:ilvl w:val="0"/>
          <w:numId w:val="16"/>
        </w:numPr>
        <w:spacing w:before="0"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bölcsődei ellátás 24 férőhellyel, </w:t>
      </w:r>
    </w:p>
    <w:p w:rsidR="00795A46" w:rsidRDefault="00795A46" w:rsidP="00795A46">
      <w:pPr>
        <w:pStyle w:val="NormlWeb"/>
        <w:numPr>
          <w:ilvl w:val="0"/>
          <w:numId w:val="16"/>
        </w:numPr>
        <w:spacing w:before="0" w:after="0"/>
        <w:rPr>
          <w:rFonts w:ascii="Times New Roman" w:hAnsi="Times New Roman" w:cs="Times New Roman"/>
          <w:color w:val="000000"/>
          <w:sz w:val="24"/>
          <w:szCs w:val="24"/>
        </w:rPr>
      </w:pPr>
      <w:r>
        <w:rPr>
          <w:rFonts w:ascii="Times New Roman" w:hAnsi="Times New Roman" w:cs="Times New Roman"/>
          <w:color w:val="000000"/>
          <w:sz w:val="24"/>
          <w:szCs w:val="24"/>
        </w:rPr>
        <w:t>megvalósítás alatt álló mini bölcsőde 8 férőhellyel (2022. novemberi átadással).</w:t>
      </w:r>
    </w:p>
    <w:p w:rsidR="00795A46" w:rsidRDefault="00795A46" w:rsidP="00795A46">
      <w:pPr>
        <w:pStyle w:val="NormlWeb"/>
        <w:spacing w:before="0" w:after="0"/>
        <w:ind w:left="720"/>
        <w:rPr>
          <w:rFonts w:ascii="Times New Roman" w:hAnsi="Times New Roman" w:cs="Times New Roman"/>
          <w:color w:val="000000"/>
          <w:sz w:val="24"/>
          <w:szCs w:val="24"/>
        </w:rPr>
      </w:pPr>
    </w:p>
    <w:p w:rsidR="00795A46" w:rsidRDefault="00795A46" w:rsidP="00795A46">
      <w:pPr>
        <w:pStyle w:val="NormlWeb"/>
        <w:numPr>
          <w:ilvl w:val="0"/>
          <w:numId w:val="15"/>
        </w:numPr>
        <w:spacing w:before="0" w:after="0"/>
        <w:rPr>
          <w:rFonts w:ascii="Times New Roman" w:hAnsi="Times New Roman" w:cs="Times New Roman"/>
          <w:color w:val="000000"/>
          <w:sz w:val="24"/>
          <w:szCs w:val="24"/>
        </w:rPr>
      </w:pPr>
      <w:r>
        <w:rPr>
          <w:rFonts w:ascii="Times New Roman" w:hAnsi="Times New Roman" w:cs="Times New Roman"/>
          <w:color w:val="000000"/>
          <w:sz w:val="24"/>
          <w:szCs w:val="24"/>
          <w:u w:val="single"/>
        </w:rPr>
        <w:t>Gyermekjóléti szolgáltatások keretében</w:t>
      </w:r>
      <w:r>
        <w:rPr>
          <w:rFonts w:ascii="Times New Roman" w:hAnsi="Times New Roman" w:cs="Times New Roman"/>
          <w:color w:val="000000"/>
          <w:sz w:val="24"/>
          <w:szCs w:val="24"/>
        </w:rPr>
        <w:t xml:space="preserve">: </w:t>
      </w:r>
    </w:p>
    <w:p w:rsidR="00795A46" w:rsidRDefault="00795A46" w:rsidP="00795A46">
      <w:pPr>
        <w:pStyle w:val="NormlWeb"/>
        <w:numPr>
          <w:ilvl w:val="0"/>
          <w:numId w:val="16"/>
        </w:numPr>
        <w:spacing w:before="0" w:after="0"/>
        <w:rPr>
          <w:rFonts w:ascii="Times New Roman" w:hAnsi="Times New Roman" w:cs="Times New Roman"/>
          <w:color w:val="000000"/>
          <w:sz w:val="24"/>
          <w:szCs w:val="24"/>
        </w:rPr>
      </w:pPr>
      <w:r>
        <w:rPr>
          <w:rFonts w:ascii="Times New Roman" w:hAnsi="Times New Roman" w:cs="Times New Roman"/>
          <w:color w:val="000000"/>
          <w:sz w:val="24"/>
          <w:szCs w:val="24"/>
        </w:rPr>
        <w:t>Orosházi Kistérség Családsegítő- és Gyermekjóléti Szolgálata csorvási feladatellátási helye</w:t>
      </w:r>
    </w:p>
    <w:p w:rsidR="00795A46" w:rsidRDefault="00795A46" w:rsidP="00795A46">
      <w:pPr>
        <w:pStyle w:val="NormlWeb"/>
        <w:numPr>
          <w:ilvl w:val="0"/>
          <w:numId w:val="16"/>
        </w:numPr>
        <w:spacing w:before="0"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A Család- és Gyermekjóléti Központ által biztosított óvodai és iskolai szociális segítő szolgáltatás </w:t>
      </w:r>
    </w:p>
    <w:p w:rsidR="00795A46" w:rsidRDefault="00795A46" w:rsidP="00795A46">
      <w:pPr>
        <w:pStyle w:val="NormlWeb"/>
        <w:spacing w:before="0" w:after="0"/>
        <w:ind w:left="720"/>
        <w:rPr>
          <w:rFonts w:ascii="Times New Roman" w:hAnsi="Times New Roman" w:cs="Times New Roman"/>
          <w:color w:val="000000"/>
          <w:sz w:val="24"/>
          <w:szCs w:val="24"/>
        </w:rPr>
      </w:pPr>
    </w:p>
    <w:p w:rsidR="00795A46" w:rsidRDefault="00795A46" w:rsidP="00795A46">
      <w:pPr>
        <w:pStyle w:val="NormlWeb"/>
        <w:spacing w:before="0" w:after="0"/>
        <w:ind w:left="720"/>
        <w:rPr>
          <w:rFonts w:ascii="Times New Roman" w:hAnsi="Times New Roman" w:cs="Times New Roman"/>
          <w:i/>
          <w:iCs/>
          <w:sz w:val="24"/>
          <w:szCs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b/>
          <w:bCs/>
          <w:i/>
          <w:iCs/>
          <w:sz w:val="24"/>
        </w:rPr>
      </w:pPr>
      <w:r>
        <w:rPr>
          <w:rFonts w:ascii="Times New Roman" w:hAnsi="Times New Roman"/>
          <w:sz w:val="24"/>
        </w:rPr>
        <w:t xml:space="preserve">A hátrányos és halmozottan hátrányos helyzet </w:t>
      </w:r>
      <w:r>
        <w:rPr>
          <w:rStyle w:val="StlusNormlCalibri1111ptChar"/>
          <w:rFonts w:ascii="Times New Roman" w:hAnsi="Times New Roman" w:cs="Times New Roman"/>
          <w:b w:val="0"/>
          <w:bCs w:val="0"/>
        </w:rPr>
        <w:t>definícióját</w:t>
      </w:r>
      <w:r>
        <w:rPr>
          <w:rStyle w:val="StlusNormlCalibri1111ptChar"/>
          <w:rFonts w:ascii="Times New Roman" w:hAnsi="Times New Roman" w:cs="Times New Roman"/>
          <w:i/>
          <w:iCs/>
        </w:rPr>
        <w:t xml:space="preserve"> </w:t>
      </w:r>
      <w:r>
        <w:rPr>
          <w:rStyle w:val="StlusNormlCalibri1111ptChar"/>
          <w:rFonts w:ascii="Times New Roman" w:hAnsi="Times New Roman" w:cs="Times New Roman"/>
          <w:b w:val="0"/>
          <w:bCs w:val="0"/>
        </w:rPr>
        <w:t>a</w:t>
      </w:r>
      <w:r>
        <w:rPr>
          <w:rFonts w:ascii="Times New Roman" w:hAnsi="Times New Roman"/>
          <w:b/>
          <w:bCs/>
          <w:sz w:val="24"/>
          <w:lang w:eastAsia="hu-HU"/>
        </w:rPr>
        <w:t xml:space="preserve"> </w:t>
      </w:r>
      <w:r>
        <w:rPr>
          <w:rFonts w:ascii="Times New Roman" w:hAnsi="Times New Roman"/>
          <w:sz w:val="24"/>
          <w:lang w:eastAsia="hu-HU"/>
        </w:rPr>
        <w:t xml:space="preserve">Gyvt. 67/A.§ (1)-(2) bekezdése az alábbiak szerint tartalmazza: </w:t>
      </w:r>
    </w:p>
    <w:p w:rsidR="00795A46" w:rsidRDefault="00795A46" w:rsidP="00795A46">
      <w:pPr>
        <w:suppressAutoHyphens w:val="0"/>
        <w:ind w:hanging="5"/>
        <w:rPr>
          <w:rFonts w:ascii="Times New Roman" w:hAnsi="Times New Roman"/>
          <w:sz w:val="24"/>
          <w:lang w:eastAsia="hu-HU"/>
        </w:rPr>
      </w:pPr>
    </w:p>
    <w:p w:rsidR="00795A46" w:rsidRDefault="00795A46" w:rsidP="00795A46">
      <w:pPr>
        <w:suppressAutoHyphens w:val="0"/>
        <w:ind w:left="-5"/>
        <w:rPr>
          <w:rFonts w:ascii="Times New Roman" w:hAnsi="Times New Roman"/>
          <w:sz w:val="24"/>
          <w:lang w:eastAsia="hu-HU"/>
        </w:rPr>
      </w:pPr>
      <w:r>
        <w:rPr>
          <w:rFonts w:ascii="Times New Roman" w:hAnsi="Times New Roman"/>
          <w:sz w:val="24"/>
          <w:lang w:eastAsia="hu-HU"/>
        </w:rPr>
        <w:t xml:space="preserve">„(1) Hátrányos helyzetű az a rendszeres gyermekvédelmi kedvezményre jogosult gyermek és nagykorúvá vált gyermek, aki esetében az alábbi körülmények közül </w:t>
      </w:r>
      <w:r>
        <w:rPr>
          <w:rFonts w:ascii="Times New Roman" w:hAnsi="Times New Roman"/>
          <w:sz w:val="24"/>
          <w:u w:val="single"/>
          <w:lang w:eastAsia="hu-HU"/>
        </w:rPr>
        <w:t>egy fennáll</w:t>
      </w:r>
      <w:r>
        <w:rPr>
          <w:rFonts w:ascii="Times New Roman" w:hAnsi="Times New Roman"/>
          <w:sz w:val="24"/>
          <w:lang w:eastAsia="hu-HU"/>
        </w:rPr>
        <w:t xml:space="preserve">: </w:t>
      </w:r>
    </w:p>
    <w:p w:rsidR="00795A46" w:rsidRDefault="00795A46" w:rsidP="00795A46">
      <w:pPr>
        <w:numPr>
          <w:ilvl w:val="0"/>
          <w:numId w:val="17"/>
        </w:numPr>
        <w:suppressAutoHyphens w:val="0"/>
        <w:rPr>
          <w:rFonts w:ascii="Times New Roman" w:hAnsi="Times New Roman"/>
          <w:sz w:val="24"/>
          <w:lang w:eastAsia="hu-HU"/>
        </w:rPr>
      </w:pPr>
      <w:r>
        <w:rPr>
          <w:rFonts w:ascii="Times New Roman" w:hAnsi="Times New Roman"/>
          <w:sz w:val="24"/>
          <w:lang w:eastAsia="hu-HU"/>
        </w:rPr>
        <w:t xml:space="preserve">a szülő vagy a családbafogadó gyám alacsony iskolai végzettsége, ha a gyermeket együtt nevelő mindkét szülőről, a gyermeket egyedül nevelő szülőről vagy a családbafogadó gyámról – önkéntes nyilatkozata alapján – megállapítható, hogy a rendszeres gyermekvédelmi kedvezmény igénylésekor legfeljebb alapfokú iskolai végzettséggel rendelkezik, </w:t>
      </w:r>
    </w:p>
    <w:p w:rsidR="00795A46" w:rsidRDefault="00795A46" w:rsidP="00795A46">
      <w:pPr>
        <w:numPr>
          <w:ilvl w:val="0"/>
          <w:numId w:val="17"/>
        </w:numPr>
        <w:suppressAutoHyphens w:val="0"/>
        <w:rPr>
          <w:rFonts w:ascii="Times New Roman" w:hAnsi="Times New Roman"/>
          <w:sz w:val="24"/>
          <w:lang w:eastAsia="hu-HU"/>
        </w:rPr>
      </w:pPr>
      <w:r>
        <w:rPr>
          <w:rFonts w:ascii="Times New Roman" w:hAnsi="Times New Roman"/>
          <w:sz w:val="24"/>
          <w:lang w:eastAsia="hu-HU"/>
        </w:rPr>
        <w:t xml:space="preserve">a szülő vagy a családbafogadó gyám alacsony foglalkoztatottsága, ha a gyermeket nevelő szülők bármelyikéről vagy a családbafogadó gyámról megállapítható, hogy a rendszeres gyermekvédelmi kedvezmény igénylésekor a szociális igazgatásról és szociális ellátásokról szóló 1993. évi III. törvény (a továbbiakban: Szt.) 33.§-a szerinti aktív korúak ellátására jogosult vagy a rendszeres gyermekvédelmi kedvezmény igénylésének időpontját megelőző 16 hónapon belül legalább 12 hónapig álláskeresőként nyilvántartott személy, </w:t>
      </w:r>
    </w:p>
    <w:p w:rsidR="00795A46" w:rsidRDefault="00795A46" w:rsidP="00795A46">
      <w:pPr>
        <w:numPr>
          <w:ilvl w:val="0"/>
          <w:numId w:val="17"/>
        </w:numPr>
        <w:suppressAutoHyphens w:val="0"/>
        <w:rPr>
          <w:rFonts w:ascii="Times New Roman" w:hAnsi="Times New Roman"/>
          <w:sz w:val="24"/>
          <w:lang w:eastAsia="hu-HU"/>
        </w:rPr>
      </w:pPr>
      <w:r>
        <w:rPr>
          <w:rFonts w:ascii="Times New Roman" w:hAnsi="Times New Roman"/>
          <w:sz w:val="24"/>
          <w:lang w:eastAsia="hu-HU"/>
        </w:rPr>
        <w:t xml:space="preserve">a gyermek elégtelen lakókörnyezete, illetve lakáskörülményei, ha megállapítható, hogy a gyermek a településre vonatkozó integrált városfejlesztési stratégiában szegregátumnak nyilvánított lakókörnyezetben vagy félkomfortos, komfort nélküli vagy szükséglakásban, illetve olyan lakáskörülmények között él, ahol korlátozottan biztosítottak az egészséges fejlődéshez szükséges feltételek. </w:t>
      </w:r>
    </w:p>
    <w:p w:rsidR="00795A46" w:rsidRDefault="00795A46" w:rsidP="00795A46">
      <w:pPr>
        <w:numPr>
          <w:ilvl w:val="1"/>
          <w:numId w:val="17"/>
        </w:numPr>
        <w:suppressAutoHyphens w:val="0"/>
        <w:ind w:left="540" w:hanging="540"/>
        <w:rPr>
          <w:rFonts w:ascii="Times New Roman" w:hAnsi="Times New Roman"/>
          <w:sz w:val="24"/>
          <w:lang w:eastAsia="hu-HU"/>
        </w:rPr>
      </w:pPr>
      <w:r>
        <w:rPr>
          <w:rFonts w:ascii="Times New Roman" w:hAnsi="Times New Roman"/>
          <w:sz w:val="24"/>
          <w:lang w:eastAsia="hu-HU"/>
        </w:rPr>
        <w:t xml:space="preserve">Halmozottan hátrányos helyzetű </w:t>
      </w:r>
    </w:p>
    <w:p w:rsidR="00795A46" w:rsidRDefault="00795A46" w:rsidP="00795A46">
      <w:pPr>
        <w:numPr>
          <w:ilvl w:val="0"/>
          <w:numId w:val="18"/>
        </w:numPr>
        <w:suppressAutoHyphens w:val="0"/>
        <w:rPr>
          <w:rFonts w:ascii="Times New Roman" w:hAnsi="Times New Roman"/>
          <w:sz w:val="24"/>
          <w:lang w:eastAsia="hu-HU"/>
        </w:rPr>
      </w:pPr>
      <w:r>
        <w:rPr>
          <w:rFonts w:ascii="Times New Roman" w:hAnsi="Times New Roman"/>
          <w:sz w:val="24"/>
          <w:lang w:eastAsia="hu-HU"/>
        </w:rPr>
        <w:t xml:space="preserve">az a rendszeres gyermekvédelmi kedvezményre jogosult gyermek és nagykorúvá vált gyermek, aki esetében az (1) bekezdés a)-c) pontjaiban meghatározott körülmények közül legalább </w:t>
      </w:r>
      <w:r>
        <w:rPr>
          <w:rFonts w:ascii="Times New Roman" w:hAnsi="Times New Roman"/>
          <w:sz w:val="24"/>
          <w:u w:val="single"/>
          <w:lang w:eastAsia="hu-HU"/>
        </w:rPr>
        <w:t>kettő fennáll</w:t>
      </w:r>
      <w:r>
        <w:rPr>
          <w:rFonts w:ascii="Times New Roman" w:hAnsi="Times New Roman"/>
          <w:sz w:val="24"/>
          <w:lang w:eastAsia="hu-HU"/>
        </w:rPr>
        <w:t xml:space="preserve">, </w:t>
      </w:r>
    </w:p>
    <w:p w:rsidR="00795A46" w:rsidRDefault="00795A46" w:rsidP="00795A46">
      <w:pPr>
        <w:numPr>
          <w:ilvl w:val="0"/>
          <w:numId w:val="18"/>
        </w:numPr>
        <w:suppressAutoHyphens w:val="0"/>
        <w:rPr>
          <w:rFonts w:ascii="Times New Roman" w:hAnsi="Times New Roman"/>
          <w:sz w:val="24"/>
          <w:lang w:eastAsia="hu-HU"/>
        </w:rPr>
      </w:pPr>
      <w:r>
        <w:rPr>
          <w:rFonts w:ascii="Times New Roman" w:hAnsi="Times New Roman"/>
          <w:sz w:val="24"/>
          <w:lang w:eastAsia="hu-HU"/>
        </w:rPr>
        <w:t>a nevelésbe vett gyermek,</w:t>
      </w:r>
    </w:p>
    <w:p w:rsidR="00795A46" w:rsidRDefault="00795A46" w:rsidP="00795A46">
      <w:pPr>
        <w:numPr>
          <w:ilvl w:val="0"/>
          <w:numId w:val="18"/>
        </w:numPr>
        <w:suppressAutoHyphens w:val="0"/>
        <w:rPr>
          <w:rFonts w:ascii="Times New Roman" w:hAnsi="Times New Roman"/>
          <w:sz w:val="24"/>
          <w:lang w:eastAsia="hu-HU"/>
        </w:rPr>
      </w:pPr>
      <w:r>
        <w:rPr>
          <w:rFonts w:ascii="Times New Roman" w:hAnsi="Times New Roman"/>
          <w:sz w:val="24"/>
          <w:lang w:eastAsia="hu-HU"/>
        </w:rPr>
        <w:t>az utógondozói ellátásban részesülő és tanulói vagy hallgatói jogviszonyban álló fiatal felnőtt.”</w:t>
      </w:r>
    </w:p>
    <w:p w:rsidR="00795A46" w:rsidRDefault="00795A46" w:rsidP="00795A46">
      <w:pPr>
        <w:rPr>
          <w:rFonts w:ascii="Times New Roman" w:hAnsi="Times New Roman"/>
          <w:sz w:val="24"/>
        </w:rPr>
      </w:pPr>
    </w:p>
    <w:p w:rsidR="00795A46" w:rsidRDefault="00795A46" w:rsidP="00795A46">
      <w:pPr>
        <w:autoSpaceDE w:val="0"/>
        <w:spacing w:after="20"/>
        <w:rPr>
          <w:rFonts w:ascii="Times New Roman" w:hAnsi="Times New Roman"/>
          <w:sz w:val="24"/>
        </w:rPr>
      </w:pPr>
      <w:r>
        <w:rPr>
          <w:rFonts w:ascii="Times New Roman" w:hAnsi="Times New Roman"/>
          <w:sz w:val="24"/>
        </w:rPr>
        <w:t>Rendszeres gyermekvédelmi kedvezmény: A jogosult gyermek számára a települési önkormányzat jegyzője a Gyvt-ben meghatározott feltételek szerint rendszeres gyermekvédelmi kedvezményre való jogosultságot állapít meg. A jogosultság megállapítása során sor kerül a jövedelmi és vagyoni helyzet vizsgálatára a Gyvt. 19. §-a szerint.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sz w:val="24"/>
        </w:rPr>
        <w:t>4.1. A gyermekek helyzetének általános jellemzői (pl. gyermekek száma, aránya, életkori megoszlása, demográfiai trendek stb.)</w:t>
      </w:r>
      <w:r>
        <w:rPr>
          <w:rFonts w:ascii="Times New Roman" w:hAnsi="Times New Roman"/>
          <w:b/>
          <w:bCs/>
          <w:sz w:val="24"/>
        </w:rPr>
        <w:tab/>
      </w:r>
    </w:p>
    <w:p w:rsidR="00795A46" w:rsidRDefault="00795A46" w:rsidP="00795A46">
      <w:pPr>
        <w:autoSpaceDE w:val="0"/>
        <w:spacing w:after="20"/>
        <w:ind w:firstLine="142"/>
        <w:rPr>
          <w:rFonts w:ascii="Times New Roman" w:hAnsi="Times New Roman"/>
          <w:szCs w:val="22"/>
        </w:rPr>
      </w:pPr>
    </w:p>
    <w:p w:rsidR="00795A46" w:rsidRDefault="00795A46" w:rsidP="00795A46">
      <w:pPr>
        <w:suppressAutoHyphens w:val="0"/>
        <w:jc w:val="left"/>
        <w:rPr>
          <w:rFonts w:ascii="Times New Roman" w:hAnsi="Times New Roman"/>
          <w:b/>
          <w:bCs/>
          <w:sz w:val="24"/>
          <w:shd w:val="clear" w:color="auto" w:fill="00FF00"/>
        </w:rPr>
      </w:pPr>
      <w:r>
        <w:rPr>
          <w:rFonts w:ascii="Times New Roman" w:hAnsi="Times New Roman"/>
          <w:b/>
          <w:bCs/>
          <w:sz w:val="24"/>
          <w:shd w:val="clear" w:color="auto" w:fill="00FF00"/>
        </w:rPr>
        <w:t xml:space="preserve">4.1. számú táblázat – </w:t>
      </w:r>
      <w:bookmarkStart w:id="77" w:name="_Hlk99976930"/>
      <w:r>
        <w:rPr>
          <w:rFonts w:ascii="Times New Roman" w:hAnsi="Times New Roman"/>
          <w:b/>
          <w:bCs/>
          <w:sz w:val="24"/>
          <w:shd w:val="clear" w:color="auto" w:fill="00FF00"/>
        </w:rPr>
        <w:t>A gyermekkorú népesség összetétele nemek és korcsoportok szerint</w:t>
      </w:r>
      <w:bookmarkEnd w:id="77"/>
    </w:p>
    <w:p w:rsidR="00795A46" w:rsidRDefault="00795A46" w:rsidP="00795A46">
      <w:pPr>
        <w:autoSpaceDE w:val="0"/>
        <w:spacing w:after="20"/>
        <w:rPr>
          <w:rFonts w:ascii="Times New Roman" w:hAnsi="Times New Roman"/>
          <w:szCs w:val="22"/>
        </w:rPr>
      </w:pPr>
    </w:p>
    <w:tbl>
      <w:tblPr>
        <w:tblW w:w="9250" w:type="dxa"/>
        <w:tblInd w:w="-68" w:type="dxa"/>
        <w:tblCellMar>
          <w:left w:w="70" w:type="dxa"/>
          <w:right w:w="70" w:type="dxa"/>
        </w:tblCellMar>
        <w:tblLook w:val="00A0" w:firstRow="1" w:lastRow="0" w:firstColumn="1" w:lastColumn="0" w:noHBand="0" w:noVBand="0"/>
      </w:tblPr>
      <w:tblGrid>
        <w:gridCol w:w="3001"/>
        <w:gridCol w:w="820"/>
        <w:gridCol w:w="791"/>
        <w:gridCol w:w="1479"/>
        <w:gridCol w:w="768"/>
        <w:gridCol w:w="2391"/>
      </w:tblGrid>
      <w:tr w:rsidR="00795A46" w:rsidTr="00795A46">
        <w:trPr>
          <w:trHeight w:val="1077"/>
        </w:trPr>
        <w:tc>
          <w:tcPr>
            <w:tcW w:w="3001" w:type="dxa"/>
            <w:vMerge w:val="restart"/>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jc w:val="center"/>
              <w:rPr>
                <w:rFonts w:cs="Calibri"/>
                <w:b/>
                <w:bCs/>
                <w:lang w:eastAsia="hu-HU"/>
              </w:rPr>
            </w:pPr>
            <w:r>
              <w:rPr>
                <w:b/>
                <w:bCs/>
                <w:lang w:eastAsia="hu-HU"/>
              </w:rPr>
              <w:t xml:space="preserve">Korcsoport </w:t>
            </w:r>
          </w:p>
        </w:tc>
        <w:tc>
          <w:tcPr>
            <w:tcW w:w="3090" w:type="dxa"/>
            <w:gridSpan w:val="3"/>
            <w:tcBorders>
              <w:top w:val="single" w:sz="4" w:space="0" w:color="auto"/>
              <w:left w:val="nil"/>
              <w:bottom w:val="single" w:sz="4" w:space="0" w:color="auto"/>
              <w:right w:val="single" w:sz="4" w:space="0" w:color="000000"/>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c>
          <w:tcPr>
            <w:tcW w:w="3159" w:type="dxa"/>
            <w:gridSpan w:val="2"/>
            <w:tcBorders>
              <w:top w:val="single" w:sz="4" w:space="0" w:color="auto"/>
              <w:left w:val="nil"/>
              <w:bottom w:val="single" w:sz="4" w:space="0" w:color="auto"/>
              <w:right w:val="single" w:sz="4" w:space="0" w:color="000000"/>
            </w:tcBorders>
            <w:shd w:val="clear" w:color="auto" w:fill="E2EFDA"/>
            <w:vAlign w:val="center"/>
            <w:hideMark/>
          </w:tcPr>
          <w:p w:rsidR="00795A46" w:rsidRDefault="00795A46">
            <w:pPr>
              <w:suppressAutoHyphens w:val="0"/>
              <w:jc w:val="center"/>
              <w:rPr>
                <w:b/>
                <w:bCs/>
                <w:lang w:eastAsia="hu-HU"/>
              </w:rPr>
            </w:pPr>
            <w:r>
              <w:rPr>
                <w:b/>
                <w:bCs/>
                <w:lang w:eastAsia="hu-HU"/>
              </w:rPr>
              <w:t>Az állandó népességből a megfelelő korcsoportú nők és férfiak aránya (%)</w:t>
            </w:r>
          </w:p>
        </w:tc>
      </w:tr>
      <w:tr w:rsidR="00795A46" w:rsidTr="00795A46">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82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Férfiak</w:t>
            </w:r>
          </w:p>
        </w:tc>
        <w:tc>
          <w:tcPr>
            <w:tcW w:w="791"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Nők</w:t>
            </w:r>
          </w:p>
        </w:tc>
        <w:tc>
          <w:tcPr>
            <w:tcW w:w="1479"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Összesen</w:t>
            </w:r>
            <w:r>
              <w:rPr>
                <w:b/>
                <w:bCs/>
                <w:lang w:eastAsia="hu-HU"/>
              </w:rPr>
              <w:br/>
            </w:r>
            <w:r>
              <w:rPr>
                <w:lang w:eastAsia="hu-HU"/>
              </w:rPr>
              <w:t>(TS 003)</w:t>
            </w:r>
          </w:p>
        </w:tc>
        <w:tc>
          <w:tcPr>
            <w:tcW w:w="768"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Férfiak</w:t>
            </w:r>
            <w:r>
              <w:rPr>
                <w:b/>
                <w:bCs/>
                <w:lang w:eastAsia="hu-HU"/>
              </w:rPr>
              <w:br/>
            </w:r>
            <w:r>
              <w:rPr>
                <w:lang w:eastAsia="hu-HU"/>
              </w:rPr>
              <w:t>(TS 005)</w:t>
            </w:r>
          </w:p>
        </w:tc>
        <w:tc>
          <w:tcPr>
            <w:tcW w:w="2391"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Nők</w:t>
            </w:r>
            <w:r>
              <w:rPr>
                <w:b/>
                <w:bCs/>
                <w:lang w:eastAsia="hu-HU"/>
              </w:rPr>
              <w:br/>
            </w:r>
            <w:r>
              <w:rPr>
                <w:lang w:eastAsia="hu-HU"/>
              </w:rPr>
              <w:t>(TS 007)</w:t>
            </w:r>
          </w:p>
        </w:tc>
      </w:tr>
      <w:tr w:rsidR="00795A46" w:rsidTr="00795A4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82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791"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1479"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768"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w:t>
            </w:r>
          </w:p>
        </w:tc>
        <w:tc>
          <w:tcPr>
            <w:tcW w:w="2391"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w:t>
            </w:r>
          </w:p>
        </w:tc>
      </w:tr>
      <w:tr w:rsidR="00795A46" w:rsidTr="00795A46">
        <w:trPr>
          <w:trHeight w:val="650"/>
        </w:trPr>
        <w:tc>
          <w:tcPr>
            <w:tcW w:w="3001"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b/>
                <w:bCs/>
                <w:lang w:eastAsia="hu-HU"/>
              </w:rPr>
              <w:t xml:space="preserve">Állandó népesség száma </w:t>
            </w:r>
            <w:r>
              <w:rPr>
                <w:lang w:eastAsia="hu-HU"/>
              </w:rPr>
              <w:t>(férfiak TS 004, nők TS 006)</w:t>
            </w:r>
          </w:p>
        </w:tc>
        <w:tc>
          <w:tcPr>
            <w:tcW w:w="8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2 360</w:t>
            </w:r>
          </w:p>
        </w:tc>
        <w:tc>
          <w:tcPr>
            <w:tcW w:w="79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2 546</w:t>
            </w:r>
          </w:p>
        </w:tc>
        <w:tc>
          <w:tcPr>
            <w:tcW w:w="1479" w:type="dxa"/>
            <w:tcBorders>
              <w:top w:val="nil"/>
              <w:left w:val="nil"/>
              <w:bottom w:val="single" w:sz="4" w:space="0" w:color="auto"/>
              <w:right w:val="single" w:sz="4" w:space="0" w:color="auto"/>
            </w:tcBorders>
            <w:shd w:val="clear" w:color="auto" w:fill="FFFFFF"/>
            <w:noWrap/>
            <w:vAlign w:val="center"/>
            <w:hideMark/>
          </w:tcPr>
          <w:p w:rsidR="00795A46" w:rsidRDefault="00795A46">
            <w:pPr>
              <w:suppressAutoHyphens w:val="0"/>
              <w:jc w:val="center"/>
              <w:rPr>
                <w:sz w:val="20"/>
                <w:szCs w:val="20"/>
                <w:lang w:eastAsia="hu-HU"/>
              </w:rPr>
            </w:pPr>
            <w:r>
              <w:rPr>
                <w:sz w:val="20"/>
                <w:szCs w:val="20"/>
                <w:lang w:eastAsia="hu-HU"/>
              </w:rPr>
              <w:t>4906</w:t>
            </w:r>
          </w:p>
        </w:tc>
        <w:tc>
          <w:tcPr>
            <w:tcW w:w="768" w:type="dxa"/>
            <w:tcBorders>
              <w:top w:val="nil"/>
              <w:left w:val="nil"/>
              <w:bottom w:val="single" w:sz="4" w:space="0" w:color="auto"/>
              <w:right w:val="single" w:sz="4" w:space="0" w:color="auto"/>
            </w:tcBorders>
            <w:shd w:val="clear" w:color="auto" w:fill="FFFFFF"/>
            <w:noWrap/>
            <w:vAlign w:val="center"/>
            <w:hideMark/>
          </w:tcPr>
          <w:p w:rsidR="00795A46" w:rsidRDefault="00795A46">
            <w:pPr>
              <w:suppressAutoHyphens w:val="0"/>
              <w:jc w:val="center"/>
              <w:rPr>
                <w:sz w:val="20"/>
                <w:szCs w:val="20"/>
                <w:lang w:eastAsia="hu-HU"/>
              </w:rPr>
            </w:pPr>
            <w:r>
              <w:rPr>
                <w:sz w:val="20"/>
                <w:szCs w:val="20"/>
                <w:lang w:eastAsia="hu-HU"/>
              </w:rPr>
              <w:t>48,10%</w:t>
            </w:r>
          </w:p>
        </w:tc>
        <w:tc>
          <w:tcPr>
            <w:tcW w:w="2391" w:type="dxa"/>
            <w:tcBorders>
              <w:top w:val="nil"/>
              <w:left w:val="nil"/>
              <w:bottom w:val="single" w:sz="4" w:space="0" w:color="auto"/>
              <w:right w:val="single" w:sz="4" w:space="0" w:color="auto"/>
            </w:tcBorders>
            <w:shd w:val="clear" w:color="auto" w:fill="FFFFFF"/>
            <w:noWrap/>
            <w:vAlign w:val="center"/>
            <w:hideMark/>
          </w:tcPr>
          <w:p w:rsidR="00795A46" w:rsidRDefault="00795A46">
            <w:pPr>
              <w:suppressAutoHyphens w:val="0"/>
              <w:jc w:val="center"/>
              <w:rPr>
                <w:sz w:val="20"/>
                <w:szCs w:val="20"/>
                <w:lang w:eastAsia="hu-HU"/>
              </w:rPr>
            </w:pPr>
            <w:r>
              <w:rPr>
                <w:sz w:val="20"/>
                <w:szCs w:val="20"/>
                <w:lang w:eastAsia="hu-HU"/>
              </w:rPr>
              <w:t>51,90%</w:t>
            </w:r>
          </w:p>
        </w:tc>
      </w:tr>
      <w:tr w:rsidR="00795A46" w:rsidTr="00795A46">
        <w:trPr>
          <w:trHeight w:val="531"/>
        </w:trPr>
        <w:tc>
          <w:tcPr>
            <w:tcW w:w="3001"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b/>
                <w:bCs/>
                <w:lang w:eastAsia="hu-HU"/>
              </w:rPr>
              <w:t>0-2 évesek</w:t>
            </w:r>
            <w:r>
              <w:rPr>
                <w:lang w:eastAsia="hu-HU"/>
              </w:rPr>
              <w:t xml:space="preserve"> (összes száma TS 008, aránya TS 009)</w:t>
            </w:r>
          </w:p>
        </w:tc>
        <w:tc>
          <w:tcPr>
            <w:tcW w:w="1611" w:type="dxa"/>
            <w:gridSpan w:val="2"/>
            <w:tcBorders>
              <w:top w:val="single" w:sz="4" w:space="0" w:color="auto"/>
              <w:left w:val="nil"/>
              <w:bottom w:val="single" w:sz="4" w:space="0" w:color="auto"/>
              <w:right w:val="single" w:sz="4" w:space="0" w:color="000000"/>
            </w:tcBorders>
            <w:shd w:val="clear" w:color="auto" w:fill="D9D9D9"/>
            <w:noWrap/>
            <w:vAlign w:val="center"/>
            <w:hideMark/>
          </w:tcPr>
          <w:p w:rsidR="00795A46" w:rsidRDefault="00795A46">
            <w:pPr>
              <w:suppressAutoHyphens w:val="0"/>
              <w:jc w:val="center"/>
              <w:rPr>
                <w:sz w:val="20"/>
                <w:szCs w:val="20"/>
                <w:lang w:eastAsia="hu-HU"/>
              </w:rPr>
            </w:pPr>
            <w:r>
              <w:rPr>
                <w:sz w:val="20"/>
                <w:szCs w:val="20"/>
                <w:lang w:eastAsia="hu-HU"/>
              </w:rPr>
              <w:t> </w:t>
            </w:r>
          </w:p>
        </w:tc>
        <w:tc>
          <w:tcPr>
            <w:tcW w:w="147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147</w:t>
            </w:r>
          </w:p>
        </w:tc>
        <w:tc>
          <w:tcPr>
            <w:tcW w:w="3159" w:type="dxa"/>
            <w:gridSpan w:val="2"/>
            <w:tcBorders>
              <w:top w:val="single" w:sz="4" w:space="0" w:color="auto"/>
              <w:left w:val="nil"/>
              <w:bottom w:val="single" w:sz="4" w:space="0" w:color="auto"/>
              <w:right w:val="single" w:sz="4" w:space="0" w:color="000000"/>
            </w:tcBorders>
            <w:shd w:val="clear" w:color="auto" w:fill="FFFFFF"/>
            <w:noWrap/>
            <w:vAlign w:val="center"/>
            <w:hideMark/>
          </w:tcPr>
          <w:p w:rsidR="00795A46" w:rsidRDefault="00795A46">
            <w:pPr>
              <w:suppressAutoHyphens w:val="0"/>
              <w:jc w:val="center"/>
              <w:rPr>
                <w:sz w:val="20"/>
                <w:szCs w:val="20"/>
                <w:lang w:eastAsia="hu-HU"/>
              </w:rPr>
            </w:pPr>
            <w:r>
              <w:rPr>
                <w:sz w:val="20"/>
                <w:szCs w:val="20"/>
                <w:lang w:eastAsia="hu-HU"/>
              </w:rPr>
              <w:t>3,00%</w:t>
            </w:r>
          </w:p>
        </w:tc>
      </w:tr>
      <w:tr w:rsidR="00795A46" w:rsidTr="00795A46">
        <w:trPr>
          <w:trHeight w:val="705"/>
        </w:trPr>
        <w:tc>
          <w:tcPr>
            <w:tcW w:w="3001"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b/>
                <w:bCs/>
                <w:lang w:eastAsia="hu-HU"/>
              </w:rPr>
              <w:t>0-14 éves</w:t>
            </w:r>
            <w:r>
              <w:rPr>
                <w:lang w:eastAsia="hu-HU"/>
              </w:rPr>
              <w:t xml:space="preserve"> (férfiak TS 010, aránya TS 011; nők TS 012, aránya TS 013)</w:t>
            </w:r>
          </w:p>
        </w:tc>
        <w:tc>
          <w:tcPr>
            <w:tcW w:w="8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304</w:t>
            </w:r>
          </w:p>
        </w:tc>
        <w:tc>
          <w:tcPr>
            <w:tcW w:w="79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286</w:t>
            </w:r>
          </w:p>
        </w:tc>
        <w:tc>
          <w:tcPr>
            <w:tcW w:w="1479" w:type="dxa"/>
            <w:tcBorders>
              <w:top w:val="nil"/>
              <w:left w:val="nil"/>
              <w:bottom w:val="single" w:sz="4" w:space="0" w:color="auto"/>
              <w:right w:val="single" w:sz="4" w:space="0" w:color="auto"/>
            </w:tcBorders>
            <w:shd w:val="clear" w:color="auto" w:fill="FFFFFF"/>
            <w:noWrap/>
            <w:vAlign w:val="center"/>
            <w:hideMark/>
          </w:tcPr>
          <w:p w:rsidR="00795A46" w:rsidRDefault="00795A46">
            <w:pPr>
              <w:suppressAutoHyphens w:val="0"/>
              <w:jc w:val="center"/>
              <w:rPr>
                <w:sz w:val="20"/>
                <w:szCs w:val="20"/>
                <w:lang w:eastAsia="hu-HU"/>
              </w:rPr>
            </w:pPr>
            <w:r>
              <w:rPr>
                <w:sz w:val="20"/>
                <w:szCs w:val="20"/>
                <w:lang w:eastAsia="hu-HU"/>
              </w:rPr>
              <w:t>590</w:t>
            </w:r>
          </w:p>
        </w:tc>
        <w:tc>
          <w:tcPr>
            <w:tcW w:w="768" w:type="dxa"/>
            <w:tcBorders>
              <w:top w:val="nil"/>
              <w:left w:val="nil"/>
              <w:bottom w:val="single" w:sz="4" w:space="0" w:color="auto"/>
              <w:right w:val="single" w:sz="4" w:space="0" w:color="auto"/>
            </w:tcBorders>
            <w:shd w:val="clear" w:color="auto" w:fill="FFFFFF"/>
            <w:noWrap/>
            <w:vAlign w:val="center"/>
            <w:hideMark/>
          </w:tcPr>
          <w:p w:rsidR="00795A46" w:rsidRDefault="00795A46">
            <w:pPr>
              <w:suppressAutoHyphens w:val="0"/>
              <w:jc w:val="center"/>
              <w:rPr>
                <w:sz w:val="20"/>
                <w:szCs w:val="20"/>
                <w:lang w:eastAsia="hu-HU"/>
              </w:rPr>
            </w:pPr>
            <w:r>
              <w:rPr>
                <w:sz w:val="20"/>
                <w:szCs w:val="20"/>
                <w:lang w:eastAsia="hu-HU"/>
              </w:rPr>
              <w:t>6,20%</w:t>
            </w:r>
          </w:p>
        </w:tc>
        <w:tc>
          <w:tcPr>
            <w:tcW w:w="2391" w:type="dxa"/>
            <w:tcBorders>
              <w:top w:val="nil"/>
              <w:left w:val="nil"/>
              <w:bottom w:val="single" w:sz="4" w:space="0" w:color="auto"/>
              <w:right w:val="single" w:sz="4" w:space="0" w:color="auto"/>
            </w:tcBorders>
            <w:shd w:val="clear" w:color="auto" w:fill="FFFFFF"/>
            <w:noWrap/>
            <w:vAlign w:val="center"/>
            <w:hideMark/>
          </w:tcPr>
          <w:p w:rsidR="00795A46" w:rsidRDefault="00795A46">
            <w:pPr>
              <w:suppressAutoHyphens w:val="0"/>
              <w:jc w:val="center"/>
              <w:rPr>
                <w:sz w:val="20"/>
                <w:szCs w:val="20"/>
                <w:lang w:eastAsia="hu-HU"/>
              </w:rPr>
            </w:pPr>
            <w:r>
              <w:rPr>
                <w:sz w:val="20"/>
                <w:szCs w:val="20"/>
                <w:lang w:eastAsia="hu-HU"/>
              </w:rPr>
              <w:t>5,83%</w:t>
            </w:r>
          </w:p>
        </w:tc>
      </w:tr>
      <w:tr w:rsidR="00795A46" w:rsidTr="00795A46">
        <w:trPr>
          <w:trHeight w:val="794"/>
        </w:trPr>
        <w:tc>
          <w:tcPr>
            <w:tcW w:w="3001"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b/>
                <w:bCs/>
                <w:lang w:eastAsia="hu-HU"/>
              </w:rPr>
              <w:t>15-17 éves</w:t>
            </w:r>
            <w:r>
              <w:rPr>
                <w:lang w:eastAsia="hu-HU"/>
              </w:rPr>
              <w:t xml:space="preserve"> (férfiak TS 014, aránya TS 015; nők TS 016, aránya TS 017)</w:t>
            </w:r>
          </w:p>
        </w:tc>
        <w:tc>
          <w:tcPr>
            <w:tcW w:w="8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80</w:t>
            </w:r>
          </w:p>
        </w:tc>
        <w:tc>
          <w:tcPr>
            <w:tcW w:w="79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81</w:t>
            </w:r>
          </w:p>
        </w:tc>
        <w:tc>
          <w:tcPr>
            <w:tcW w:w="1479" w:type="dxa"/>
            <w:tcBorders>
              <w:top w:val="nil"/>
              <w:left w:val="nil"/>
              <w:bottom w:val="single" w:sz="4" w:space="0" w:color="auto"/>
              <w:right w:val="single" w:sz="4" w:space="0" w:color="auto"/>
            </w:tcBorders>
            <w:shd w:val="clear" w:color="auto" w:fill="FFFFFF"/>
            <w:noWrap/>
            <w:vAlign w:val="center"/>
            <w:hideMark/>
          </w:tcPr>
          <w:p w:rsidR="00795A46" w:rsidRDefault="00795A46">
            <w:pPr>
              <w:suppressAutoHyphens w:val="0"/>
              <w:jc w:val="center"/>
              <w:rPr>
                <w:sz w:val="20"/>
                <w:szCs w:val="20"/>
                <w:lang w:eastAsia="hu-HU"/>
              </w:rPr>
            </w:pPr>
            <w:r>
              <w:rPr>
                <w:sz w:val="20"/>
                <w:szCs w:val="20"/>
                <w:lang w:eastAsia="hu-HU"/>
              </w:rPr>
              <w:t>161</w:t>
            </w:r>
          </w:p>
        </w:tc>
        <w:tc>
          <w:tcPr>
            <w:tcW w:w="768" w:type="dxa"/>
            <w:tcBorders>
              <w:top w:val="nil"/>
              <w:left w:val="nil"/>
              <w:bottom w:val="single" w:sz="4" w:space="0" w:color="auto"/>
              <w:right w:val="single" w:sz="4" w:space="0" w:color="auto"/>
            </w:tcBorders>
            <w:shd w:val="clear" w:color="auto" w:fill="FFFFFF"/>
            <w:noWrap/>
            <w:vAlign w:val="center"/>
            <w:hideMark/>
          </w:tcPr>
          <w:p w:rsidR="00795A46" w:rsidRDefault="00795A46">
            <w:pPr>
              <w:suppressAutoHyphens w:val="0"/>
              <w:jc w:val="center"/>
              <w:rPr>
                <w:sz w:val="20"/>
                <w:szCs w:val="20"/>
                <w:lang w:eastAsia="hu-HU"/>
              </w:rPr>
            </w:pPr>
            <w:r>
              <w:rPr>
                <w:sz w:val="20"/>
                <w:szCs w:val="20"/>
                <w:lang w:eastAsia="hu-HU"/>
              </w:rPr>
              <w:t>1,63%</w:t>
            </w:r>
          </w:p>
        </w:tc>
        <w:tc>
          <w:tcPr>
            <w:tcW w:w="2391" w:type="dxa"/>
            <w:tcBorders>
              <w:top w:val="nil"/>
              <w:left w:val="nil"/>
              <w:bottom w:val="single" w:sz="4" w:space="0" w:color="auto"/>
              <w:right w:val="single" w:sz="4" w:space="0" w:color="auto"/>
            </w:tcBorders>
            <w:shd w:val="clear" w:color="auto" w:fill="FFFFFF"/>
            <w:noWrap/>
            <w:vAlign w:val="center"/>
            <w:hideMark/>
          </w:tcPr>
          <w:p w:rsidR="00795A46" w:rsidRDefault="00795A46">
            <w:pPr>
              <w:suppressAutoHyphens w:val="0"/>
              <w:jc w:val="center"/>
              <w:rPr>
                <w:sz w:val="20"/>
                <w:szCs w:val="20"/>
                <w:lang w:eastAsia="hu-HU"/>
              </w:rPr>
            </w:pPr>
            <w:r>
              <w:rPr>
                <w:sz w:val="20"/>
                <w:szCs w:val="20"/>
                <w:lang w:eastAsia="hu-HU"/>
              </w:rPr>
              <w:t>1,65%</w:t>
            </w:r>
          </w:p>
        </w:tc>
      </w:tr>
    </w:tbl>
    <w:p w:rsidR="00795A46" w:rsidRDefault="00795A46" w:rsidP="00795A46">
      <w:pPr>
        <w:rPr>
          <w:rFonts w:ascii="Times New Roman" w:hAnsi="Times New Roman"/>
          <w:sz w:val="24"/>
        </w:rPr>
      </w:pPr>
      <w:bookmarkStart w:id="78" w:name="__RefHeading__31_19067457691"/>
      <w:bookmarkEnd w:id="78"/>
    </w:p>
    <w:p w:rsidR="00795A46" w:rsidRDefault="00795A46" w:rsidP="00795A46">
      <w:pPr>
        <w:pStyle w:val="Tblacm"/>
        <w:jc w:val="left"/>
        <w:rPr>
          <w:rFonts w:ascii="Times New Roman" w:hAnsi="Times New Roman"/>
        </w:rPr>
      </w:pPr>
      <w:r>
        <w:rPr>
          <w:rFonts w:ascii="Times New Roman" w:hAnsi="Times New Roman"/>
        </w:rPr>
        <w:t>Forrás: TeIR, KSH-Tstar</w:t>
      </w:r>
    </w:p>
    <w:p w:rsidR="00795A46" w:rsidRDefault="00795A46" w:rsidP="00795A46">
      <w:pPr>
        <w:rPr>
          <w:rFonts w:ascii="Times New Roman" w:hAnsi="Times New Roman"/>
          <w:sz w:val="24"/>
        </w:rPr>
      </w:pPr>
    </w:p>
    <w:p w:rsidR="00795A46" w:rsidRDefault="00795A46" w:rsidP="00795A46">
      <w:pPr>
        <w:ind w:firstLine="709"/>
        <w:rPr>
          <w:rFonts w:ascii="Times New Roman" w:hAnsi="Times New Roman"/>
          <w:sz w:val="24"/>
        </w:rPr>
      </w:pPr>
      <w:r>
        <w:rPr>
          <w:rFonts w:ascii="Times New Roman" w:hAnsi="Times New Roman"/>
          <w:sz w:val="24"/>
        </w:rPr>
        <w:t xml:space="preserve">A fenti táblázat a kiskorúak nemek szerinti arányát mutatja az állandó népességen belül 2018-ban. A kiskorúak a teljes lakosságállomány 15,6 %-át teszik ki. Sajnos a város lakossága elöregedőben van, ez mutatható ki az „A település bemutatása” című fejezetben ismertetett 3. számú, az öregedési index alakulását vizsgáló táblázatban is. Ebben a táblázatban ugyanis az látszik, hogy a településen élő, 65. életévüket már betöltött lakosok száma közel kétszerese volt a 0-14 éves korú gyermekek számának. </w:t>
      </w:r>
    </w:p>
    <w:p w:rsidR="00795A46" w:rsidRDefault="00795A46" w:rsidP="00795A46">
      <w:pPr>
        <w:rPr>
          <w:rFonts w:ascii="Times New Roman" w:hAnsi="Times New Roman"/>
          <w:sz w:val="24"/>
        </w:rPr>
      </w:pPr>
      <w:r>
        <w:rPr>
          <w:rFonts w:ascii="Times New Roman" w:hAnsi="Times New Roman"/>
          <w:sz w:val="24"/>
        </w:rPr>
        <w:tab/>
        <w:t xml:space="preserve"> </w:t>
      </w:r>
      <w:r>
        <w:rPr>
          <w:rFonts w:ascii="Times New Roman" w:hAnsi="Times New Roman"/>
          <w:sz w:val="24"/>
        </w:rPr>
        <w:br/>
        <w:t xml:space="preserve">A </w:t>
      </w:r>
      <w:r>
        <w:rPr>
          <w:rFonts w:ascii="Times New Roman" w:hAnsi="Times New Roman"/>
          <w:color w:val="000000"/>
          <w:sz w:val="24"/>
        </w:rPr>
        <w:t>szociális</w:t>
      </w:r>
      <w:r>
        <w:rPr>
          <w:rFonts w:ascii="Times New Roman" w:hAnsi="Times New Roman"/>
          <w:sz w:val="24"/>
        </w:rPr>
        <w:t xml:space="preserve"> ellátórendszer támogatásokkal és szolgáltatásokkal segíti a családokat, és emellett a megelőző tevékenységét a szociális, köznevelési, egészségügyi, közművelődési, sport és civil szervezeteinek hálózatán keresztül és együttműködve tudja végezni. Elmondható, hogy a településen a gyermekvédelmi alapellátások jól működnek, a gyermek-és ifjúságvédelem a gyermekekkel foglalkozó intézményekben jelen van. A gyermekek, az iskoláskorúak ellátása, esélyegyenlősége az egyenlő bánásmód alapelvei szerint, jól működik.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a)</w:t>
      </w:r>
      <w:r>
        <w:rPr>
          <w:rFonts w:ascii="Times New Roman" w:hAnsi="Times New Roman"/>
          <w:b/>
          <w:bCs/>
          <w:sz w:val="24"/>
        </w:rPr>
        <w:t xml:space="preserve"> veszélyeztetett és védelembe vett, hátrányos helyzetű, illetve halmozottan hátrányos helyzetű gyermekek, valamint fogyatékossággal élő gyermekek száma és aránya, egészségügyi, szociális, lakhatási helyzete  </w:t>
      </w:r>
    </w:p>
    <w:p w:rsidR="00795A46" w:rsidRDefault="00795A46" w:rsidP="00795A46">
      <w:pPr>
        <w:pStyle w:val="Tblacm"/>
        <w:rPr>
          <w:rFonts w:ascii="Times New Roman" w:hAnsi="Times New Roman"/>
          <w:bCs w:val="0"/>
          <w:sz w:val="24"/>
          <w:szCs w:val="24"/>
          <w:shd w:val="clear" w:color="auto" w:fill="00FF00"/>
        </w:rPr>
      </w:pPr>
    </w:p>
    <w:p w:rsidR="00795A46" w:rsidRDefault="00795A46" w:rsidP="00795A46">
      <w:pPr>
        <w:pStyle w:val="Tblacm"/>
        <w:rPr>
          <w:rFonts w:ascii="Times New Roman" w:hAnsi="Times New Roman"/>
          <w:sz w:val="24"/>
          <w:szCs w:val="24"/>
          <w:shd w:val="clear" w:color="auto" w:fill="00FF00"/>
        </w:rPr>
      </w:pPr>
      <w:bookmarkStart w:id="79" w:name="__RefHeading__133_1906745769"/>
      <w:bookmarkEnd w:id="79"/>
      <w:r>
        <w:rPr>
          <w:rFonts w:ascii="Times New Roman" w:hAnsi="Times New Roman"/>
          <w:sz w:val="24"/>
          <w:szCs w:val="24"/>
          <w:shd w:val="clear" w:color="auto" w:fill="00FF00"/>
        </w:rPr>
        <w:t>4.1.1. számú táblázat - Védelembe vett és veszélyeztetett kiskorú gyermekek száma</w:t>
      </w:r>
    </w:p>
    <w:p w:rsidR="00795A46" w:rsidRDefault="00795A46" w:rsidP="00795A46">
      <w:pPr>
        <w:pStyle w:val="Tblacm"/>
        <w:rPr>
          <w:rFonts w:ascii="Times New Roman" w:hAnsi="Times New Roman"/>
          <w:sz w:val="24"/>
          <w:szCs w:val="24"/>
          <w:shd w:val="clear" w:color="auto" w:fill="00FF00"/>
        </w:rPr>
      </w:pPr>
    </w:p>
    <w:tbl>
      <w:tblPr>
        <w:tblW w:w="9250" w:type="dxa"/>
        <w:tblInd w:w="-68" w:type="dxa"/>
        <w:tblCellMar>
          <w:left w:w="70" w:type="dxa"/>
          <w:right w:w="70" w:type="dxa"/>
        </w:tblCellMar>
        <w:tblLook w:val="00A0" w:firstRow="1" w:lastRow="0" w:firstColumn="1" w:lastColumn="0" w:noHBand="0" w:noVBand="0"/>
      </w:tblPr>
      <w:tblGrid>
        <w:gridCol w:w="1180"/>
        <w:gridCol w:w="3390"/>
        <w:gridCol w:w="4680"/>
      </w:tblGrid>
      <w:tr w:rsidR="00795A46" w:rsidTr="00795A46">
        <w:trPr>
          <w:trHeight w:val="891"/>
        </w:trPr>
        <w:tc>
          <w:tcPr>
            <w:tcW w:w="1180" w:type="dxa"/>
            <w:vMerge w:val="restart"/>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jc w:val="center"/>
              <w:rPr>
                <w:rFonts w:cs="Calibri"/>
                <w:b/>
                <w:bCs/>
                <w:szCs w:val="22"/>
                <w:lang w:eastAsia="hu-HU"/>
              </w:rPr>
            </w:pPr>
            <w:r>
              <w:rPr>
                <w:b/>
                <w:bCs/>
                <w:lang w:eastAsia="hu-HU"/>
              </w:rPr>
              <w:t>Év</w:t>
            </w:r>
          </w:p>
        </w:tc>
        <w:tc>
          <w:tcPr>
            <w:tcW w:w="339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Védelembe vett kiskorú gyermekek száma </w:t>
            </w:r>
            <w:r>
              <w:rPr>
                <w:b/>
                <w:bCs/>
                <w:lang w:eastAsia="hu-HU"/>
              </w:rPr>
              <w:br/>
            </w:r>
            <w:r>
              <w:rPr>
                <w:lang w:eastAsia="hu-HU"/>
              </w:rPr>
              <w:t>(TS 116)</w:t>
            </w:r>
          </w:p>
        </w:tc>
        <w:tc>
          <w:tcPr>
            <w:tcW w:w="468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Veszélyeztetett kiskorú gyermekek száma  </w:t>
            </w:r>
            <w:r>
              <w:rPr>
                <w:lang w:eastAsia="hu-HU"/>
              </w:rPr>
              <w:t>(TS 115)</w:t>
            </w:r>
          </w:p>
        </w:tc>
      </w:tr>
      <w:tr w:rsidR="00795A46" w:rsidTr="00795A46">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339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468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r>
      <w:tr w:rsidR="00795A46" w:rsidTr="00795A46">
        <w:trPr>
          <w:trHeight w:val="300"/>
        </w:trPr>
        <w:tc>
          <w:tcPr>
            <w:tcW w:w="11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339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19</w:t>
            </w:r>
          </w:p>
        </w:tc>
        <w:tc>
          <w:tcPr>
            <w:tcW w:w="4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79</w:t>
            </w:r>
          </w:p>
        </w:tc>
      </w:tr>
      <w:tr w:rsidR="00795A46" w:rsidTr="00795A46">
        <w:trPr>
          <w:trHeight w:val="321"/>
        </w:trPr>
        <w:tc>
          <w:tcPr>
            <w:tcW w:w="11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339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16</w:t>
            </w:r>
          </w:p>
        </w:tc>
        <w:tc>
          <w:tcPr>
            <w:tcW w:w="4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79</w:t>
            </w:r>
          </w:p>
        </w:tc>
      </w:tr>
      <w:tr w:rsidR="00795A46" w:rsidTr="00795A46">
        <w:trPr>
          <w:trHeight w:val="356"/>
        </w:trPr>
        <w:tc>
          <w:tcPr>
            <w:tcW w:w="11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339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15</w:t>
            </w:r>
          </w:p>
        </w:tc>
        <w:tc>
          <w:tcPr>
            <w:tcW w:w="4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68</w:t>
            </w:r>
          </w:p>
        </w:tc>
      </w:tr>
      <w:tr w:rsidR="00795A46" w:rsidTr="00795A46">
        <w:trPr>
          <w:trHeight w:val="354"/>
        </w:trPr>
        <w:tc>
          <w:tcPr>
            <w:tcW w:w="11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339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13</w:t>
            </w:r>
          </w:p>
        </w:tc>
        <w:tc>
          <w:tcPr>
            <w:tcW w:w="4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35</w:t>
            </w:r>
          </w:p>
        </w:tc>
      </w:tr>
      <w:tr w:rsidR="00795A46" w:rsidTr="00795A46">
        <w:trPr>
          <w:trHeight w:val="336"/>
        </w:trPr>
        <w:tc>
          <w:tcPr>
            <w:tcW w:w="11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339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8</w:t>
            </w:r>
          </w:p>
        </w:tc>
        <w:tc>
          <w:tcPr>
            <w:tcW w:w="4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53</w:t>
            </w:r>
          </w:p>
        </w:tc>
      </w:tr>
      <w:tr w:rsidR="00795A46" w:rsidTr="00795A46">
        <w:trPr>
          <w:trHeight w:val="346"/>
        </w:trPr>
        <w:tc>
          <w:tcPr>
            <w:tcW w:w="11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339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4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bl>
    <w:p w:rsidR="00795A46" w:rsidRDefault="00795A46" w:rsidP="00795A46">
      <w:pPr>
        <w:pStyle w:val="Tblacm"/>
        <w:rPr>
          <w:rFonts w:ascii="Times New Roman" w:hAnsi="Times New Roman"/>
          <w:sz w:val="24"/>
          <w:szCs w:val="24"/>
          <w:shd w:val="clear" w:color="auto" w:fill="00FF00"/>
        </w:rPr>
      </w:pPr>
    </w:p>
    <w:p w:rsidR="00795A46" w:rsidRDefault="00795A46" w:rsidP="00795A46">
      <w:pPr>
        <w:pStyle w:val="Tblacm"/>
        <w:rPr>
          <w:rFonts w:ascii="Times New Roman" w:hAnsi="Times New Roman"/>
          <w:color w:val="000000"/>
          <w:sz w:val="24"/>
          <w:szCs w:val="24"/>
          <w:lang w:eastAsia="hu-HU"/>
        </w:rPr>
      </w:pPr>
      <w:r>
        <w:rPr>
          <w:rFonts w:ascii="Times New Roman" w:hAnsi="Times New Roman"/>
          <w:color w:val="000000"/>
          <w:sz w:val="24"/>
          <w:szCs w:val="24"/>
          <w:lang w:eastAsia="hu-HU"/>
        </w:rPr>
        <w:t>Forrás: TeIR, KSH Tstar, önkormányzati adatok</w:t>
      </w:r>
    </w:p>
    <w:p w:rsidR="00795A46" w:rsidRDefault="00795A46" w:rsidP="00795A46">
      <w:pPr>
        <w:pStyle w:val="Tblacm"/>
        <w:rPr>
          <w:rFonts w:ascii="Times New Roman" w:hAnsi="Times New Roman"/>
          <w:sz w:val="24"/>
          <w:szCs w:val="24"/>
          <w:shd w:val="clear" w:color="auto" w:fill="00FF00"/>
        </w:rPr>
      </w:pP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noProof/>
          <w:szCs w:val="22"/>
        </w:rPr>
      </w:pPr>
      <w:r>
        <w:rPr>
          <w:noProof/>
          <w:lang w:eastAsia="hu-HU"/>
        </w:rPr>
        <w:drawing>
          <wp:inline distT="0" distB="0" distL="0" distR="0" wp14:anchorId="41F41B73" wp14:editId="4CCDE225">
            <wp:extent cx="4572000" cy="3333750"/>
            <wp:effectExtent l="0" t="0" r="0" b="0"/>
            <wp:docPr id="40" name="Diagram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noProof/>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color w:val="000000"/>
          <w:sz w:val="24"/>
        </w:rPr>
        <w:t>A fenti kimutatás szerint a 18 év alattiak népességcsökkenésének mértéke nagyobb, mint a védelembe vételek csökkenésének mértéke, ez a tendencia pedig azt mutatja, hogy a gyermekeket nevelő családok szociális, családjogi, egészségügyi vagy életmódbeli helyzete labilissá vált. Bár csökken a kiskorúak száma, a gyermekjóléti szolgáltatást igénybe vevők száma ehhez képest alig változik.</w:t>
      </w:r>
      <w:r>
        <w:rPr>
          <w:rFonts w:ascii="Times New Roman" w:hAnsi="Times New Roman"/>
          <w:color w:val="FF0000"/>
          <w:sz w:val="24"/>
        </w:rPr>
        <w:t xml:space="preserve"> </w:t>
      </w:r>
      <w:r>
        <w:rPr>
          <w:rFonts w:ascii="Times New Roman" w:hAnsi="Times New Roman"/>
          <w:sz w:val="24"/>
        </w:rPr>
        <w:t>A védelembe vétel megszűntetésének esetei gyakran egybeesnek a gyermek nagykorúvá válásával, ez után pedig a gyermekjóléti szolgálat már nem követi őket.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A veszélyeztetett kiskorú gyermekek száma változatos képet mutat, egyes időszakokban kiugró értékekkel. Elmondható, hogy a táblázat adatai az országos átlagot is tükrözik.</w:t>
      </w:r>
    </w:p>
    <w:p w:rsidR="00795A46" w:rsidRDefault="00795A46" w:rsidP="00795A46">
      <w:pPr>
        <w:autoSpaceDE w:val="0"/>
        <w:spacing w:after="20"/>
        <w:rPr>
          <w:rFonts w:ascii="Times New Roman" w:hAnsi="Times New Roman"/>
          <w:i/>
          <w:iCs/>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b)</w:t>
      </w:r>
      <w:r>
        <w:rPr>
          <w:rFonts w:ascii="Times New Roman" w:hAnsi="Times New Roman"/>
          <w:b/>
          <w:bCs/>
          <w:sz w:val="24"/>
        </w:rPr>
        <w:t xml:space="preserve"> rendszeres gyermekvédelmi kedvezményben részesítettek</w:t>
      </w:r>
    </w:p>
    <w:p w:rsidR="00795A46" w:rsidRDefault="00795A46" w:rsidP="00795A46">
      <w:pPr>
        <w:pStyle w:val="Tblacm"/>
        <w:rPr>
          <w:rFonts w:ascii="Times New Roman" w:hAnsi="Times New Roman"/>
          <w:bCs w:val="0"/>
          <w:sz w:val="24"/>
          <w:szCs w:val="24"/>
          <w:shd w:val="clear" w:color="auto" w:fill="00FF00"/>
        </w:rPr>
      </w:pPr>
    </w:p>
    <w:p w:rsidR="00795A46" w:rsidRDefault="00795A46" w:rsidP="00795A46">
      <w:pPr>
        <w:pStyle w:val="Tblacm"/>
        <w:rPr>
          <w:rFonts w:ascii="Times New Roman" w:hAnsi="Times New Roman"/>
          <w:sz w:val="24"/>
          <w:szCs w:val="24"/>
          <w:shd w:val="clear" w:color="auto" w:fill="00FF00"/>
        </w:rPr>
      </w:pPr>
      <w:bookmarkStart w:id="80" w:name="__RefHeading__135_1906745769"/>
      <w:bookmarkEnd w:id="80"/>
      <w:r>
        <w:rPr>
          <w:rFonts w:ascii="Times New Roman" w:hAnsi="Times New Roman"/>
          <w:sz w:val="24"/>
          <w:szCs w:val="24"/>
          <w:shd w:val="clear" w:color="auto" w:fill="00FF00"/>
        </w:rPr>
        <w:t>4.1.2. számú táblázat - Rendszeres gyermekvédelmi kedvezményben részesítettek</w:t>
      </w:r>
    </w:p>
    <w:p w:rsidR="00795A46" w:rsidRDefault="00795A46" w:rsidP="00795A46">
      <w:pPr>
        <w:rPr>
          <w:rFonts w:ascii="Times New Roman" w:hAnsi="Times New Roman"/>
          <w:b/>
          <w:bCs/>
          <w:sz w:val="24"/>
        </w:rPr>
      </w:pPr>
    </w:p>
    <w:tbl>
      <w:tblPr>
        <w:tblW w:w="9250" w:type="dxa"/>
        <w:tblInd w:w="-68" w:type="dxa"/>
        <w:tblCellMar>
          <w:left w:w="70" w:type="dxa"/>
          <w:right w:w="70" w:type="dxa"/>
        </w:tblCellMar>
        <w:tblLook w:val="00A0" w:firstRow="1" w:lastRow="0" w:firstColumn="1" w:lastColumn="0" w:noHBand="0" w:noVBand="0"/>
      </w:tblPr>
      <w:tblGrid>
        <w:gridCol w:w="1150"/>
        <w:gridCol w:w="8100"/>
      </w:tblGrid>
      <w:tr w:rsidR="00795A46" w:rsidTr="00795A46">
        <w:trPr>
          <w:trHeight w:val="464"/>
        </w:trPr>
        <w:tc>
          <w:tcPr>
            <w:tcW w:w="1150" w:type="dxa"/>
            <w:vMerge w:val="restart"/>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jc w:val="center"/>
              <w:rPr>
                <w:rFonts w:cs="Calibri"/>
                <w:b/>
                <w:bCs/>
                <w:szCs w:val="22"/>
                <w:lang w:eastAsia="hu-HU"/>
              </w:rPr>
            </w:pPr>
            <w:r>
              <w:rPr>
                <w:b/>
                <w:bCs/>
                <w:lang w:eastAsia="hu-HU"/>
              </w:rPr>
              <w:t>Év</w:t>
            </w:r>
          </w:p>
        </w:tc>
        <w:tc>
          <w:tcPr>
            <w:tcW w:w="810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Rendszeres gyermekvédelmi kedvezményben részesítettek évi átlagos száma </w:t>
            </w:r>
            <w:r>
              <w:rPr>
                <w:lang w:eastAsia="hu-HU"/>
              </w:rPr>
              <w:t>(TS 111)</w:t>
            </w:r>
          </w:p>
        </w:tc>
      </w:tr>
      <w:tr w:rsidR="00795A46" w:rsidTr="00795A46">
        <w:trPr>
          <w:trHeight w:val="3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810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r>
      <w:tr w:rsidR="00795A46" w:rsidTr="00795A46">
        <w:trPr>
          <w:trHeight w:val="300"/>
        </w:trPr>
        <w:tc>
          <w:tcPr>
            <w:tcW w:w="115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81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195</w:t>
            </w:r>
          </w:p>
        </w:tc>
      </w:tr>
      <w:tr w:rsidR="00795A46" w:rsidTr="00795A46">
        <w:trPr>
          <w:trHeight w:val="399"/>
        </w:trPr>
        <w:tc>
          <w:tcPr>
            <w:tcW w:w="115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81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162</w:t>
            </w:r>
          </w:p>
        </w:tc>
      </w:tr>
      <w:tr w:rsidR="00795A46" w:rsidTr="00795A46">
        <w:trPr>
          <w:trHeight w:val="419"/>
        </w:trPr>
        <w:tc>
          <w:tcPr>
            <w:tcW w:w="115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81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167</w:t>
            </w:r>
          </w:p>
        </w:tc>
      </w:tr>
      <w:tr w:rsidR="00795A46" w:rsidTr="00795A46">
        <w:trPr>
          <w:trHeight w:val="397"/>
        </w:trPr>
        <w:tc>
          <w:tcPr>
            <w:tcW w:w="115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81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108</w:t>
            </w:r>
          </w:p>
        </w:tc>
      </w:tr>
      <w:tr w:rsidR="00795A46" w:rsidTr="00795A46">
        <w:trPr>
          <w:trHeight w:val="416"/>
        </w:trPr>
        <w:tc>
          <w:tcPr>
            <w:tcW w:w="115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81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75</w:t>
            </w:r>
          </w:p>
        </w:tc>
      </w:tr>
      <w:tr w:rsidR="00795A46" w:rsidTr="00795A46">
        <w:trPr>
          <w:trHeight w:val="423"/>
        </w:trPr>
        <w:tc>
          <w:tcPr>
            <w:tcW w:w="115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81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85</w:t>
            </w:r>
          </w:p>
        </w:tc>
      </w:tr>
    </w:tbl>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Forrás: önkormányzati adatok</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noProof/>
          <w:lang w:eastAsia="hu-HU"/>
        </w:rPr>
        <w:drawing>
          <wp:inline distT="0" distB="0" distL="0" distR="0" wp14:anchorId="11697757" wp14:editId="16140C8A">
            <wp:extent cx="3467100" cy="3200400"/>
            <wp:effectExtent l="0" t="0" r="0" b="0"/>
            <wp:docPr id="39" name="Diagram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p>
    <w:p w:rsidR="00795A46" w:rsidRDefault="00795A46" w:rsidP="00795A46">
      <w:pPr>
        <w:autoSpaceDE w:val="0"/>
        <w:spacing w:after="20"/>
        <w:rPr>
          <w:rFonts w:ascii="Times New Roman" w:hAnsi="Times New Roman"/>
          <w:color w:val="FF0000"/>
          <w:sz w:val="24"/>
        </w:rPr>
      </w:pPr>
    </w:p>
    <w:p w:rsidR="00795A46" w:rsidRDefault="00795A46" w:rsidP="00795A46">
      <w:pPr>
        <w:autoSpaceDE w:val="0"/>
        <w:spacing w:after="20"/>
        <w:ind w:firstLine="709"/>
        <w:rPr>
          <w:rFonts w:ascii="Times New Roman" w:hAnsi="Times New Roman"/>
          <w:sz w:val="24"/>
        </w:rPr>
      </w:pPr>
      <w:r>
        <w:rPr>
          <w:rFonts w:ascii="Times New Roman" w:hAnsi="Times New Roman"/>
          <w:sz w:val="24"/>
        </w:rPr>
        <w:t>A 4.1.2. számú táblázat adataiból kimutatható, hogy a rendszeres gyermekvédelmi kedvezményben részesülők száma évről évre csökken, ám a szociálisan rászoruló családok nehéz anyagi helyzete, esetleges széthullása, a mindennapos megélhetési nehézségek a szükséget szenvedők számára a gyermekvédelmi kedvezménnyel megszerezhető rendszeres juttatásokat és kedvezményeket még értékesebbé teszik, annak megszerzésére kitartóan törekednek. A kiegészítő gyermekvédelmi támogatás megállapítására – jogosultság hiányában - nem került sor Csorváson.</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c)</w:t>
      </w:r>
      <w:r>
        <w:rPr>
          <w:rFonts w:ascii="Times New Roman" w:hAnsi="Times New Roman"/>
          <w:b/>
          <w:bCs/>
          <w:sz w:val="24"/>
        </w:rPr>
        <w:t xml:space="preserve"> gyermek jogán járó helyi juttatásokban részesülők száma, aránya</w:t>
      </w:r>
    </w:p>
    <w:p w:rsidR="00795A46" w:rsidRDefault="00795A46" w:rsidP="00795A46">
      <w:pPr>
        <w:autoSpaceDE w:val="0"/>
        <w:spacing w:after="20"/>
        <w:ind w:firstLine="142"/>
        <w:rPr>
          <w:rFonts w:ascii="Times New Roman" w:hAnsi="Times New Roman"/>
          <w:i/>
          <w:iCs/>
          <w:sz w:val="24"/>
        </w:rPr>
      </w:pPr>
    </w:p>
    <w:p w:rsidR="00795A46" w:rsidRDefault="00795A46" w:rsidP="00795A46">
      <w:pPr>
        <w:suppressAutoHyphens w:val="0"/>
        <w:ind w:firstLine="709"/>
        <w:rPr>
          <w:rFonts w:ascii="Times New Roman" w:hAnsi="Times New Roman"/>
          <w:color w:val="000000"/>
          <w:sz w:val="24"/>
          <w:lang w:eastAsia="hu-HU"/>
        </w:rPr>
      </w:pPr>
      <w:r>
        <w:rPr>
          <w:rFonts w:ascii="Times New Roman" w:hAnsi="Times New Roman"/>
          <w:color w:val="000000"/>
          <w:sz w:val="24"/>
          <w:lang w:eastAsia="hu-HU"/>
        </w:rPr>
        <w:t>A nehéz sorsú csorvási családok közül krízishelyzetben nyújtható települési támogatást vehetnek igénybe azok a rászorulók, akik létfenntartási gondokkal küzdenek és a családjukban az egy főre jutó jövedelem nem haladja meg az öregségi nyugdíj mindenkori legkisebb összegének 250%-át (71.250 Ft), egyedül élő személy esetében a 350%-át (99.750 Ft). Ennek a támogatásnak az összege támogatási alkalmanként 10.000 Ft, a gyermeket nevelő családok esetén gyermekenként további 5.000,- Ft.</w:t>
      </w:r>
    </w:p>
    <w:p w:rsidR="00795A46" w:rsidRDefault="00795A46" w:rsidP="00795A46">
      <w:pPr>
        <w:suppressAutoHyphens w:val="0"/>
        <w:rPr>
          <w:rFonts w:ascii="Times New Roman" w:hAnsi="Times New Roman"/>
          <w:color w:val="FF0000"/>
          <w:sz w:val="24"/>
          <w:lang w:eastAsia="hu-HU"/>
        </w:rPr>
      </w:pPr>
      <w:r>
        <w:rPr>
          <w:rFonts w:ascii="Times New Roman" w:hAnsi="Times New Roman"/>
          <w:color w:val="000000"/>
          <w:sz w:val="24"/>
          <w:lang w:eastAsia="hu-HU"/>
        </w:rPr>
        <w:t>A Képviselő-testület 2015. március 1. napjától állapítja meg a gyermek születéséhez nyújtható támogatást abban az esetben, ha az újszülöttet gondozó szülők, vagy legalább egyikük a településen lakóhellyel rendelkezik, és életvitelszerűen Csorváson élnek. A támogatásról való információszerzést úgy oldjuk meg, hogy a területileg illetékes védőnő a várandós- és újszülött-gondozás részeként magával viszi a kérelem-nyomtatványt a gyermek első megtekintésekor, tájékoztatást nyújtva a szülő számára a támogatás igénylésének feltételeiről.  E támogatás összege 2016. április 1-től 50.000 Ft gyermekenként.</w:t>
      </w:r>
      <w:r>
        <w:rPr>
          <w:rFonts w:ascii="Times New Roman" w:hAnsi="Times New Roman"/>
          <w:color w:val="FF0000"/>
          <w:sz w:val="24"/>
          <w:lang w:eastAsia="hu-HU"/>
        </w:rPr>
        <w:t xml:space="preserve"> </w:t>
      </w:r>
    </w:p>
    <w:p w:rsidR="00795A46" w:rsidRDefault="00795A46" w:rsidP="00795A46">
      <w:pPr>
        <w:suppressAutoHyphens w:val="0"/>
        <w:rPr>
          <w:rFonts w:ascii="Times New Roman" w:hAnsi="Times New Roman"/>
          <w:color w:val="000000"/>
          <w:sz w:val="24"/>
          <w:lang w:eastAsia="hu-HU"/>
        </w:rPr>
      </w:pPr>
      <w:r>
        <w:rPr>
          <w:rFonts w:ascii="Times New Roman" w:hAnsi="Times New Roman"/>
          <w:color w:val="000000"/>
          <w:sz w:val="24"/>
          <w:lang w:eastAsia="hu-HU"/>
        </w:rPr>
        <w:t xml:space="preserve">A polgármester méltányossági jogkörében eljárva, a költségvetésben rendelkezésre álló források figyelembevételével, települési támogatásként egyszeri támogatásban részesítheti azokat a szociálisan rászoruló személyeket, akik szerepelnek a szociális nyilvántartó rendszerben. E szabály szerint azok a rendszeres gyermekvédelmi kedvezményben részesülő kiskorúak és nagykorúak, akiknek e jogosultsága a tárgyév augusztus 1. napján fennáll, egyszeri, jogosult gyermekenként 15.000,- Ft készpénztámogatásban részesülnek, a beiskolázási költségek viseléshez való részleges hozzájárulás céljából. </w:t>
      </w:r>
    </w:p>
    <w:p w:rsidR="00795A46" w:rsidRDefault="00795A46" w:rsidP="00795A46">
      <w:pPr>
        <w:suppressAutoHyphens w:val="0"/>
        <w:rPr>
          <w:rFonts w:ascii="Times New Roman" w:hAnsi="Times New Roman"/>
          <w:color w:val="000000"/>
          <w:sz w:val="24"/>
          <w:lang w:eastAsia="hu-HU"/>
        </w:rPr>
      </w:pPr>
      <w:r>
        <w:rPr>
          <w:rFonts w:ascii="Times New Roman" w:hAnsi="Times New Roman"/>
          <w:color w:val="000000"/>
          <w:sz w:val="24"/>
          <w:lang w:eastAsia="hu-HU"/>
        </w:rPr>
        <w:t>A közlekedési költségekhez való hozzájárulásként támogatásban részesülhetnek azok a tartósan beteg, súlyosan fogyatékos gyermeket nevelő szülők, akik egy másik település speciális ellátást nyújtó nevelési-oktatási intézményében biztosítják gyermekük számára a nappali rendszerű tanulmányok folytatását. A különleges ellátást nyújtó köznevelési intézmények évente kb. 10-12 speciális nevelési igényű gyermek tanulói jogviszonyát igazolják. Számukra tanulmányaik folytatásához évenként egyszeri, jogosult gyermekenként 60.000,- Ft összegű készpénztámogatást nyújthatunk.</w:t>
      </w:r>
    </w:p>
    <w:p w:rsidR="00795A46" w:rsidRDefault="00795A46" w:rsidP="00795A46">
      <w:pPr>
        <w:suppressAutoHyphens w:val="0"/>
        <w:rPr>
          <w:rFonts w:ascii="Times New Roman" w:hAnsi="Times New Roman"/>
          <w:color w:val="000000"/>
          <w:sz w:val="24"/>
          <w:lang w:eastAsia="hu-HU"/>
        </w:rPr>
      </w:pPr>
      <w:r>
        <w:rPr>
          <w:rFonts w:ascii="Times New Roman" w:hAnsi="Times New Roman"/>
          <w:color w:val="000000"/>
          <w:sz w:val="24"/>
          <w:lang w:eastAsia="hu-HU"/>
        </w:rPr>
        <w:t>Az elmúlt években önkormányzatunknak lehetősége nyílt szociális célú tüzelőanyag vásárlására pályázatot benyújtani. Ennek keretében évente általában 700-900 q közötti mennyiségben barnakőszenet vásároluk. A pályázati kiírásnak megfelelően a kérelmet benyújtók közül előnyben részesítjük az aktív korúak ellátásában, az időskorúak járadékában, a lakhatási települési támogatásban részesülőket, illetve a halmozottan hátrányos helyzetű gyermeket nevelő családokat úgy, hogy részükre egyszeri természetbeni ellátásként háztartásonként 10 mázsa tüzelőanyagot adhatunk ki.</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highlight w:val="green"/>
        </w:rPr>
        <w:t>4.1.3. számú táblázat – Árvaellátás</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7780" w:type="dxa"/>
        <w:tblInd w:w="-68" w:type="dxa"/>
        <w:tblCellMar>
          <w:left w:w="70" w:type="dxa"/>
          <w:right w:w="70" w:type="dxa"/>
        </w:tblCellMar>
        <w:tblLook w:val="00A0" w:firstRow="1" w:lastRow="0" w:firstColumn="1" w:lastColumn="0" w:noHBand="0" w:noVBand="0"/>
      </w:tblPr>
      <w:tblGrid>
        <w:gridCol w:w="820"/>
        <w:gridCol w:w="2660"/>
        <w:gridCol w:w="2440"/>
        <w:gridCol w:w="1860"/>
      </w:tblGrid>
      <w:tr w:rsidR="00795A46" w:rsidTr="00795A46">
        <w:trPr>
          <w:trHeight w:val="1650"/>
        </w:trPr>
        <w:tc>
          <w:tcPr>
            <w:tcW w:w="820" w:type="dxa"/>
            <w:vMerge w:val="restart"/>
            <w:tcBorders>
              <w:top w:val="single" w:sz="4" w:space="0" w:color="auto"/>
              <w:left w:val="single" w:sz="4" w:space="0" w:color="auto"/>
              <w:bottom w:val="single" w:sz="4" w:space="0" w:color="000000"/>
              <w:right w:val="single" w:sz="4" w:space="0" w:color="auto"/>
            </w:tcBorders>
            <w:shd w:val="clear" w:color="auto" w:fill="E2EFDA"/>
            <w:noWrap/>
            <w:vAlign w:val="center"/>
            <w:hideMark/>
          </w:tcPr>
          <w:p w:rsidR="00795A46" w:rsidRDefault="00795A46">
            <w:pPr>
              <w:suppressAutoHyphens w:val="0"/>
              <w:jc w:val="center"/>
              <w:rPr>
                <w:rFonts w:cs="Calibri"/>
                <w:b/>
                <w:bCs/>
                <w:szCs w:val="22"/>
                <w:lang w:eastAsia="hu-HU"/>
              </w:rPr>
            </w:pPr>
            <w:r>
              <w:rPr>
                <w:b/>
                <w:bCs/>
                <w:lang w:eastAsia="hu-HU"/>
              </w:rPr>
              <w:t>Év</w:t>
            </w:r>
          </w:p>
        </w:tc>
        <w:tc>
          <w:tcPr>
            <w:tcW w:w="266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 xml:space="preserve">Árvaellátásban részesülő </w:t>
            </w:r>
            <w:r>
              <w:rPr>
                <w:b/>
                <w:bCs/>
                <w:color w:val="000000"/>
                <w:lang w:eastAsia="hu-HU"/>
              </w:rPr>
              <w:br/>
              <w:t>férfiak száma (fő)</w:t>
            </w:r>
            <w:r>
              <w:rPr>
                <w:b/>
                <w:bCs/>
                <w:color w:val="000000"/>
                <w:lang w:eastAsia="hu-HU"/>
              </w:rPr>
              <w:br/>
            </w:r>
            <w:r>
              <w:rPr>
                <w:color w:val="000000"/>
                <w:lang w:eastAsia="hu-HU"/>
              </w:rPr>
              <w:t xml:space="preserve">(TS 065) </w:t>
            </w:r>
          </w:p>
        </w:tc>
        <w:tc>
          <w:tcPr>
            <w:tcW w:w="244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 xml:space="preserve">Árvaellátásban részesülő </w:t>
            </w:r>
            <w:r>
              <w:rPr>
                <w:b/>
                <w:bCs/>
                <w:color w:val="000000"/>
                <w:lang w:eastAsia="hu-HU"/>
              </w:rPr>
              <w:br/>
              <w:t>nők száma (fő)</w:t>
            </w:r>
            <w:r>
              <w:rPr>
                <w:b/>
                <w:bCs/>
                <w:color w:val="000000"/>
                <w:lang w:eastAsia="hu-HU"/>
              </w:rPr>
              <w:br/>
            </w:r>
            <w:r>
              <w:rPr>
                <w:color w:val="000000"/>
                <w:lang w:eastAsia="hu-HU"/>
              </w:rPr>
              <w:t>(TS 066)</w:t>
            </w:r>
          </w:p>
        </w:tc>
        <w:tc>
          <w:tcPr>
            <w:tcW w:w="186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Árvaellátásban</w:t>
            </w:r>
            <w:r>
              <w:rPr>
                <w:b/>
                <w:bCs/>
                <w:color w:val="000000"/>
                <w:lang w:eastAsia="hu-HU"/>
              </w:rPr>
              <w:br/>
              <w:t xml:space="preserve"> részesülők összesen</w:t>
            </w:r>
          </w:p>
        </w:tc>
      </w:tr>
      <w:tr w:rsidR="00795A46" w:rsidTr="00795A46">
        <w:trPr>
          <w:trHeight w:val="6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jc w:val="left"/>
              <w:rPr>
                <w:b/>
                <w:bCs/>
                <w:szCs w:val="22"/>
                <w:lang w:eastAsia="hu-HU"/>
              </w:rPr>
            </w:pPr>
          </w:p>
        </w:tc>
        <w:tc>
          <w:tcPr>
            <w:tcW w:w="266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244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186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r>
      <w:tr w:rsidR="00795A46" w:rsidTr="00795A46">
        <w:trPr>
          <w:trHeight w:val="300"/>
        </w:trPr>
        <w:tc>
          <w:tcPr>
            <w:tcW w:w="8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2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22</w:t>
            </w:r>
          </w:p>
        </w:tc>
        <w:tc>
          <w:tcPr>
            <w:tcW w:w="2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19</w:t>
            </w:r>
          </w:p>
        </w:tc>
        <w:tc>
          <w:tcPr>
            <w:tcW w:w="186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41</w:t>
            </w:r>
          </w:p>
        </w:tc>
      </w:tr>
      <w:tr w:rsidR="00795A46" w:rsidTr="00795A46">
        <w:trPr>
          <w:trHeight w:val="840"/>
        </w:trPr>
        <w:tc>
          <w:tcPr>
            <w:tcW w:w="8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2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c>
          <w:tcPr>
            <w:tcW w:w="2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w:t>
            </w:r>
          </w:p>
        </w:tc>
        <w:tc>
          <w:tcPr>
            <w:tcW w:w="186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38</w:t>
            </w:r>
          </w:p>
        </w:tc>
      </w:tr>
      <w:tr w:rsidR="00795A46" w:rsidTr="00795A46">
        <w:trPr>
          <w:trHeight w:val="810"/>
        </w:trPr>
        <w:tc>
          <w:tcPr>
            <w:tcW w:w="8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2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c>
          <w:tcPr>
            <w:tcW w:w="2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19</w:t>
            </w:r>
          </w:p>
        </w:tc>
        <w:tc>
          <w:tcPr>
            <w:tcW w:w="186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39</w:t>
            </w:r>
          </w:p>
        </w:tc>
      </w:tr>
      <w:tr w:rsidR="00795A46" w:rsidTr="00795A46">
        <w:trPr>
          <w:trHeight w:val="1290"/>
        </w:trPr>
        <w:tc>
          <w:tcPr>
            <w:tcW w:w="8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2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c>
          <w:tcPr>
            <w:tcW w:w="2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w:t>
            </w:r>
          </w:p>
        </w:tc>
        <w:tc>
          <w:tcPr>
            <w:tcW w:w="186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38</w:t>
            </w:r>
          </w:p>
        </w:tc>
      </w:tr>
      <w:tr w:rsidR="00795A46" w:rsidTr="00795A46">
        <w:trPr>
          <w:trHeight w:val="1095"/>
        </w:trPr>
        <w:tc>
          <w:tcPr>
            <w:tcW w:w="8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2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24</w:t>
            </w:r>
          </w:p>
        </w:tc>
        <w:tc>
          <w:tcPr>
            <w:tcW w:w="2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17</w:t>
            </w:r>
          </w:p>
        </w:tc>
        <w:tc>
          <w:tcPr>
            <w:tcW w:w="186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41</w:t>
            </w:r>
          </w:p>
        </w:tc>
      </w:tr>
      <w:tr w:rsidR="00795A46" w:rsidTr="00795A46">
        <w:trPr>
          <w:trHeight w:val="585"/>
        </w:trPr>
        <w:tc>
          <w:tcPr>
            <w:tcW w:w="8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2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2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86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Forrás: TeIR, KSH Tstar, Önkormányzati adatok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cs="Calibri"/>
        </w:rPr>
      </w:pPr>
      <w:r>
        <w:rPr>
          <w:noProof/>
          <w:lang w:eastAsia="hu-HU"/>
        </w:rPr>
        <w:drawing>
          <wp:inline distT="0" distB="0" distL="0" distR="0" wp14:anchorId="1A31CBFF" wp14:editId="036BC284">
            <wp:extent cx="4467225" cy="3352800"/>
            <wp:effectExtent l="0" t="0" r="9525" b="0"/>
            <wp:docPr id="38" name="Diagram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4"/>
        </w:rPr>
      </w:pPr>
      <w:r>
        <w:rPr>
          <w:rFonts w:ascii="Times New Roman" w:hAnsi="Times New Roman"/>
          <w:sz w:val="24"/>
        </w:rPr>
        <w:t xml:space="preserve">A HEP elkészítési útmutatója előírja, hogy ebben a fejezetben mutassuk ki az árvaellátásban részesülő személyek számának alakulását, bár az árvaellátás nem a helyi önkormányzat szociális rendeletében foglaltak szerinti pénzbeli ellátás. Az árvaellátás ugyanis a jogszabályban meghatározott esetekben az elhunyt nyugdíjas, illetve nyugdíjban nem részesülő, de nyugdíjjogosultságot szerzett elhunyt személy gyermekének, örökbe fogadott gyermekének, meghatározott feltételek esetén nevelt gyermekének, testvérének, unokájának járó ellátás. Településünkön az elmúlt évek adatait vizsgálva megállapítható, hogy számuk és nembeli arányuk az egyes években közel azonos.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cs="Calibri"/>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numPr>
          <w:ilvl w:val="0"/>
          <w:numId w:val="18"/>
        </w:numPr>
        <w:autoSpaceDE w:val="0"/>
        <w:spacing w:after="20"/>
        <w:rPr>
          <w:rFonts w:ascii="Times New Roman" w:hAnsi="Times New Roman"/>
          <w:b/>
          <w:bCs/>
          <w:sz w:val="24"/>
        </w:rPr>
      </w:pPr>
      <w:r>
        <w:rPr>
          <w:rFonts w:ascii="Times New Roman" w:hAnsi="Times New Roman"/>
          <w:b/>
          <w:bCs/>
          <w:sz w:val="24"/>
        </w:rPr>
        <w:t>ingyenes vagy kedvezményes iskolai étkeztetésben részesülők száma, aránya</w:t>
      </w:r>
    </w:p>
    <w:p w:rsidR="00795A46" w:rsidRDefault="00795A46" w:rsidP="00795A46">
      <w:pPr>
        <w:ind w:left="-5"/>
        <w:rPr>
          <w:rFonts w:ascii="Times New Roman" w:hAnsi="Times New Roman"/>
          <w:sz w:val="24"/>
        </w:rPr>
      </w:pPr>
    </w:p>
    <w:p w:rsidR="00795A46" w:rsidRDefault="00795A46" w:rsidP="00795A46">
      <w:pPr>
        <w:ind w:left="-5" w:firstLine="360"/>
        <w:rPr>
          <w:rFonts w:ascii="Times New Roman" w:hAnsi="Times New Roman"/>
          <w:b/>
          <w:bCs/>
          <w:sz w:val="24"/>
        </w:rPr>
      </w:pPr>
      <w:r>
        <w:rPr>
          <w:rFonts w:ascii="Times New Roman" w:hAnsi="Times New Roman"/>
          <w:sz w:val="24"/>
        </w:rPr>
        <w:t xml:space="preserve">A kedvezményes óvodai, iskolai juttatásokban részesülők száma a gyermeklétszám csökkenése ellenére évről évre kismértékben növekvő értékeket mutat. Ennek oka, hogy az ingyenes, illetve 50%-os kedvezményben részesítő juttatások igénybevételének lehetőségével a családok mind nagyobb számban élni kívánnak. Ilyen támogatás a családok költségvetését e juttatás nélkül rendkívüli módon megterhelő gyermekétkeztetés, tankönyvvásárlás, óvodai, iskolai közösségbe való bekerülés járulékos beruházásai és mindennapos költségének önkormányzati, ill. normatívából finanszírozott átvállalása, amely kiadás főleg a tartósan beteg, fogyatékos, többgyermekes, illetve állástalan szülők számára jelentene elviselhetetlen terheket. </w:t>
      </w:r>
    </w:p>
    <w:p w:rsidR="00795A46" w:rsidRDefault="00795A46" w:rsidP="00795A46">
      <w:pPr>
        <w:autoSpaceDE w:val="0"/>
        <w:spacing w:after="20"/>
        <w:rPr>
          <w:rFonts w:ascii="Times New Roman" w:hAnsi="Times New Roman"/>
          <w:b/>
          <w:bCs/>
          <w:sz w:val="24"/>
        </w:rPr>
      </w:pPr>
    </w:p>
    <w:p w:rsidR="00795A46" w:rsidRDefault="00795A46" w:rsidP="00795A46">
      <w:pPr>
        <w:numPr>
          <w:ilvl w:val="0"/>
          <w:numId w:val="18"/>
        </w:numPr>
        <w:autoSpaceDE w:val="0"/>
        <w:spacing w:after="20"/>
        <w:rPr>
          <w:rFonts w:ascii="Times New Roman" w:hAnsi="Times New Roman"/>
          <w:b/>
          <w:bCs/>
          <w:sz w:val="24"/>
        </w:rPr>
      </w:pPr>
      <w:r>
        <w:rPr>
          <w:rFonts w:ascii="Times New Roman" w:hAnsi="Times New Roman"/>
          <w:b/>
          <w:bCs/>
          <w:sz w:val="24"/>
        </w:rPr>
        <w:t>magyar állampolgársággal nem rendelkező gyermekek száma, aránya</w:t>
      </w:r>
    </w:p>
    <w:p w:rsidR="00795A46" w:rsidRDefault="00795A46" w:rsidP="00795A46">
      <w:pPr>
        <w:autoSpaceDE w:val="0"/>
        <w:spacing w:after="20"/>
        <w:ind w:left="-5"/>
        <w:rPr>
          <w:rFonts w:ascii="Times New Roman" w:hAnsi="Times New Roman"/>
          <w:b/>
          <w:bCs/>
          <w:sz w:val="24"/>
        </w:rPr>
      </w:pPr>
    </w:p>
    <w:p w:rsidR="00795A46" w:rsidRDefault="00795A46" w:rsidP="00795A46">
      <w:pPr>
        <w:ind w:firstLine="355"/>
        <w:rPr>
          <w:rFonts w:ascii="Times New Roman" w:hAnsi="Times New Roman"/>
          <w:color w:val="000000"/>
          <w:sz w:val="24"/>
        </w:rPr>
      </w:pPr>
      <w:r>
        <w:rPr>
          <w:rFonts w:ascii="Times New Roman" w:hAnsi="Times New Roman"/>
          <w:color w:val="000000"/>
          <w:sz w:val="24"/>
        </w:rPr>
        <w:t>Jelenleg egy fő magyar állampolgársággal nem rendelkező, 18 év alatti,</w:t>
      </w:r>
      <w:r>
        <w:rPr>
          <w:rFonts w:ascii="Times New Roman" w:hAnsi="Times New Roman"/>
          <w:color w:val="00B050"/>
          <w:sz w:val="24"/>
        </w:rPr>
        <w:t xml:space="preserve"> </w:t>
      </w:r>
      <w:r>
        <w:rPr>
          <w:rFonts w:ascii="Times New Roman" w:hAnsi="Times New Roman"/>
          <w:color w:val="000000"/>
          <w:sz w:val="24"/>
        </w:rPr>
        <w:t>Csorváson életvitelszerűen tartózkodó külföldi állampolgárságú gyermekről van tudomásunk a településen.</w:t>
      </w:r>
    </w:p>
    <w:p w:rsidR="00795A46" w:rsidRDefault="00795A46" w:rsidP="00795A46">
      <w:pPr>
        <w:autoSpaceDE w:val="0"/>
        <w:spacing w:after="20"/>
        <w:ind w:left="-5"/>
        <w:rPr>
          <w:rFonts w:ascii="Times New Roman" w:hAnsi="Times New Roman"/>
          <w:sz w:val="24"/>
        </w:rPr>
      </w:pPr>
    </w:p>
    <w:p w:rsidR="00795A46" w:rsidRDefault="00795A46" w:rsidP="00795A46">
      <w:pPr>
        <w:autoSpaceDE w:val="0"/>
        <w:spacing w:after="20"/>
        <w:ind w:left="-5"/>
        <w:rPr>
          <w:rFonts w:ascii="Times New Roman" w:hAnsi="Times New Roman"/>
          <w:sz w:val="24"/>
        </w:rPr>
      </w:pPr>
    </w:p>
    <w:p w:rsidR="00795A46" w:rsidRDefault="00795A46" w:rsidP="00795A46">
      <w:pPr>
        <w:numPr>
          <w:ilvl w:val="0"/>
          <w:numId w:val="18"/>
        </w:numPr>
        <w:autoSpaceDE w:val="0"/>
        <w:spacing w:after="20"/>
        <w:rPr>
          <w:rFonts w:ascii="Times New Roman" w:hAnsi="Times New Roman"/>
          <w:b/>
          <w:bCs/>
          <w:sz w:val="24"/>
        </w:rPr>
      </w:pPr>
      <w:r>
        <w:rPr>
          <w:rFonts w:ascii="Times New Roman" w:hAnsi="Times New Roman"/>
          <w:b/>
          <w:bCs/>
          <w:sz w:val="24"/>
        </w:rPr>
        <w:t>állampolgársággal rendelkező, illetve magyar állampolgársággal nem rendelkező külföldről visszatért, hátrányos helyzetű családban élő gyermekek jellemzői</w:t>
      </w:r>
    </w:p>
    <w:p w:rsidR="00795A46" w:rsidRDefault="00795A46" w:rsidP="00795A46">
      <w:pPr>
        <w:pStyle w:val="Tblacm"/>
        <w:rPr>
          <w:rFonts w:ascii="Times New Roman" w:hAnsi="Times New Roman"/>
          <w:bCs w:val="0"/>
          <w:sz w:val="24"/>
          <w:szCs w:val="24"/>
          <w:shd w:val="clear" w:color="auto" w:fill="00FF00"/>
        </w:rPr>
      </w:pPr>
    </w:p>
    <w:p w:rsidR="00795A46" w:rsidRDefault="00795A46" w:rsidP="00795A46">
      <w:pPr>
        <w:autoSpaceDE w:val="0"/>
        <w:spacing w:after="20"/>
        <w:ind w:firstLine="567"/>
        <w:rPr>
          <w:rFonts w:ascii="Times New Roman" w:hAnsi="Times New Roman"/>
          <w:sz w:val="24"/>
        </w:rPr>
      </w:pPr>
      <w:bookmarkStart w:id="81" w:name="__RefHeading__137_1906745769"/>
      <w:bookmarkEnd w:id="81"/>
      <w:r>
        <w:rPr>
          <w:rFonts w:ascii="Times New Roman" w:hAnsi="Times New Roman"/>
          <w:sz w:val="24"/>
        </w:rPr>
        <w:t xml:space="preserve">Településünkön nem ismertek olyan családokban élő magyar állampolgársággal rendelkező vagy nem rendelkező gyermekek, akik családjukkal együtt külföldről visszatértek, és szociális rászorultságuk okán hátrányos helyzetük megállapítását kérték önkormányzatunktól. </w:t>
      </w:r>
      <w:bookmarkStart w:id="82" w:name="__RefHeading__139_1906745769"/>
      <w:bookmarkEnd w:id="82"/>
    </w:p>
    <w:p w:rsidR="00795A46" w:rsidRDefault="00795A46" w:rsidP="00795A46">
      <w:pPr>
        <w:autoSpaceDE w:val="0"/>
        <w:spacing w:after="20"/>
        <w:rPr>
          <w:rFonts w:ascii="Times New Roman" w:hAnsi="Times New Roman"/>
          <w:b/>
          <w:bCs/>
          <w:color w:val="000000"/>
          <w:sz w:val="24"/>
        </w:rPr>
      </w:pPr>
    </w:p>
    <w:p w:rsidR="00795A46" w:rsidRDefault="00795A46" w:rsidP="00795A46">
      <w:pPr>
        <w:autoSpaceDE w:val="0"/>
        <w:spacing w:after="20"/>
        <w:ind w:firstLine="142"/>
        <w:rPr>
          <w:rFonts w:ascii="Times New Roman" w:hAnsi="Times New Roman"/>
          <w:b/>
          <w:bCs/>
          <w:color w:val="000000"/>
          <w:sz w:val="24"/>
        </w:rPr>
      </w:pPr>
      <w:r>
        <w:rPr>
          <w:rFonts w:ascii="Times New Roman" w:hAnsi="Times New Roman"/>
          <w:b/>
          <w:bCs/>
          <w:color w:val="000000"/>
          <w:sz w:val="24"/>
        </w:rPr>
        <w:t>4.2 Szegregált, telepszerű lakókörnyezetben élő gyermekek helyzete, esélyegyenlősége</w:t>
      </w:r>
    </w:p>
    <w:p w:rsidR="00795A46" w:rsidRDefault="00795A46" w:rsidP="00795A46">
      <w:pPr>
        <w:rPr>
          <w:rFonts w:ascii="Times New Roman" w:hAnsi="Times New Roman"/>
          <w:b/>
          <w:bCs/>
          <w:color w:val="000000"/>
          <w:sz w:val="24"/>
        </w:rPr>
      </w:pPr>
    </w:p>
    <w:p w:rsidR="00795A46" w:rsidRDefault="00795A46" w:rsidP="00795A46">
      <w:pPr>
        <w:pStyle w:val="Tblacm"/>
        <w:tabs>
          <w:tab w:val="left" w:pos="567"/>
        </w:tabs>
        <w:rPr>
          <w:rFonts w:ascii="Times New Roman" w:hAnsi="Times New Roman"/>
          <w:bCs w:val="0"/>
          <w:color w:val="000000"/>
          <w:sz w:val="24"/>
          <w:szCs w:val="24"/>
        </w:rPr>
      </w:pPr>
      <w:r>
        <w:rPr>
          <w:rFonts w:ascii="Times New Roman" w:hAnsi="Times New Roman"/>
          <w:color w:val="000000"/>
          <w:sz w:val="24"/>
          <w:szCs w:val="24"/>
        </w:rPr>
        <w:tab/>
        <w:t xml:space="preserve">Ennek a fejezetnek a vizsgálata </w:t>
      </w:r>
      <w:bookmarkStart w:id="83" w:name="__RefHeading__141_1906745769"/>
      <w:r>
        <w:rPr>
          <w:rFonts w:ascii="Times New Roman" w:hAnsi="Times New Roman"/>
          <w:color w:val="000000"/>
          <w:sz w:val="24"/>
          <w:szCs w:val="24"/>
        </w:rPr>
        <w:t>n</w:t>
      </w:r>
      <w:bookmarkEnd w:id="83"/>
      <w:r>
        <w:rPr>
          <w:rFonts w:ascii="Times New Roman" w:hAnsi="Times New Roman"/>
          <w:color w:val="000000"/>
          <w:sz w:val="24"/>
          <w:szCs w:val="24"/>
        </w:rPr>
        <w:t>em releváns, mivel a településen nincs szegregátum, nincs szegregált lakókörnyezetben élő gyermekek.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bookmarkStart w:id="84" w:name="__RefHeading__147_1906745769"/>
      <w:bookmarkStart w:id="85" w:name="__RefHeading__145_1906745769"/>
      <w:bookmarkStart w:id="86" w:name="__RefHeading__143_1906745769"/>
      <w:bookmarkEnd w:id="84"/>
      <w:bookmarkEnd w:id="85"/>
      <w:bookmarkEnd w:id="86"/>
    </w:p>
    <w:p w:rsidR="00795A46" w:rsidRDefault="00795A46" w:rsidP="00795A46">
      <w:pPr>
        <w:autoSpaceDE w:val="0"/>
        <w:spacing w:after="20"/>
        <w:ind w:firstLine="142"/>
        <w:rPr>
          <w:rFonts w:ascii="Times New Roman" w:hAnsi="Times New Roman"/>
          <w:b/>
          <w:bCs/>
          <w:sz w:val="24"/>
        </w:rPr>
      </w:pPr>
      <w:r>
        <w:rPr>
          <w:rFonts w:ascii="Times New Roman" w:hAnsi="Times New Roman"/>
          <w:b/>
          <w:bCs/>
          <w:sz w:val="24"/>
        </w:rPr>
        <w:t>4.3 A hátrányos, illetve halmozottan hátrányos helyzetű, valamint fogyatékossággal élő gyermekek szolgáltatásokhoz való hozzáférése</w:t>
      </w:r>
    </w:p>
    <w:p w:rsidR="00795A46" w:rsidRDefault="00795A46" w:rsidP="00795A46">
      <w:pPr>
        <w:autoSpaceDE w:val="0"/>
        <w:spacing w:after="20"/>
        <w:rPr>
          <w:rFonts w:ascii="Times New Roman" w:hAnsi="Times New Roman"/>
          <w:b/>
          <w:bCs/>
          <w:sz w:val="24"/>
        </w:rPr>
      </w:pPr>
    </w:p>
    <w:p w:rsidR="00795A46" w:rsidRDefault="00795A46" w:rsidP="00795A46">
      <w:pPr>
        <w:autoSpaceDE w:val="0"/>
        <w:spacing w:after="20"/>
        <w:ind w:firstLine="142"/>
        <w:rPr>
          <w:rFonts w:ascii="Times New Roman" w:hAnsi="Times New Roman"/>
          <w:sz w:val="24"/>
        </w:rPr>
      </w:pPr>
      <w:r>
        <w:rPr>
          <w:rFonts w:ascii="Times New Roman" w:hAnsi="Times New Roman"/>
          <w:sz w:val="24"/>
        </w:rPr>
        <w:t xml:space="preserve">Ez a fejezet megmutatja, hogy Csorvás Város Önkormányzata milyen szakmai válaszokat ad a kiskorúakat értintő szociális kihívásokra. Csorvás önkormányzata elmondhatja magáról, hogy megfelelő intézményrendszert épített ki a gyermekjóléti intézkedések végrehajtására. </w:t>
      </w: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a)</w:t>
      </w:r>
      <w:r>
        <w:rPr>
          <w:rFonts w:ascii="Times New Roman" w:hAnsi="Times New Roman"/>
          <w:b/>
          <w:bCs/>
          <w:sz w:val="24"/>
        </w:rPr>
        <w:t xml:space="preserve"> védőnői ellátás jellemzői (pl. a védőnő által ellátott települések száma, egy védőnőre jutott ellátott, betöltetlen státuszok). </w:t>
      </w: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ind w:firstLine="567"/>
        <w:rPr>
          <w:rFonts w:ascii="Times New Roman" w:hAnsi="Times New Roman"/>
          <w:sz w:val="24"/>
        </w:rPr>
      </w:pPr>
      <w:r>
        <w:rPr>
          <w:rFonts w:ascii="Times New Roman" w:hAnsi="Times New Roman"/>
          <w:sz w:val="24"/>
        </w:rPr>
        <w:t xml:space="preserve">Két védőnő tevékenykedik Csorváson, akik csak ezt a települést látják el szolgálatukkal. Betöltetlen védőnői státusz nincs. A védőnők vegyes körzetet látnak el, hiszen a tanulói létszám nem éri el azt az értéket, amely mellett főállású iskolai védőnőt lehetne alkalmazni.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Tblacm"/>
        <w:rPr>
          <w:rFonts w:ascii="Times New Roman" w:hAnsi="Times New Roman"/>
          <w:sz w:val="24"/>
          <w:szCs w:val="24"/>
          <w:shd w:val="clear" w:color="auto" w:fill="00FF00"/>
        </w:rPr>
      </w:pPr>
      <w:bookmarkStart w:id="87" w:name="__RefHeading__149_1906745769"/>
      <w:bookmarkEnd w:id="87"/>
      <w:r>
        <w:rPr>
          <w:rFonts w:ascii="Times New Roman" w:hAnsi="Times New Roman"/>
          <w:sz w:val="24"/>
          <w:szCs w:val="24"/>
          <w:shd w:val="clear" w:color="auto" w:fill="00FF00"/>
        </w:rPr>
        <w:t>4.3.1. számú táblázat – Védőnői álláshelyek száma</w:t>
      </w:r>
    </w:p>
    <w:p w:rsidR="00795A46" w:rsidRDefault="00795A46" w:rsidP="00795A46">
      <w:pPr>
        <w:pStyle w:val="Tblacm"/>
        <w:rPr>
          <w:rFonts w:ascii="Times New Roman" w:hAnsi="Times New Roman"/>
          <w:sz w:val="24"/>
          <w:szCs w:val="24"/>
          <w:shd w:val="clear" w:color="auto" w:fill="00FF00"/>
        </w:rPr>
      </w:pPr>
    </w:p>
    <w:tbl>
      <w:tblPr>
        <w:tblW w:w="9000" w:type="dxa"/>
        <w:tblInd w:w="-68" w:type="dxa"/>
        <w:tblCellMar>
          <w:left w:w="70" w:type="dxa"/>
          <w:right w:w="70" w:type="dxa"/>
        </w:tblCellMar>
        <w:tblLook w:val="00A0" w:firstRow="1" w:lastRow="0" w:firstColumn="1" w:lastColumn="0" w:noHBand="0" w:noVBand="0"/>
      </w:tblPr>
      <w:tblGrid>
        <w:gridCol w:w="960"/>
        <w:gridCol w:w="2460"/>
        <w:gridCol w:w="2520"/>
        <w:gridCol w:w="3060"/>
      </w:tblGrid>
      <w:tr w:rsidR="00795A46" w:rsidTr="00795A46">
        <w:trPr>
          <w:trHeight w:val="1025"/>
        </w:trPr>
        <w:tc>
          <w:tcPr>
            <w:tcW w:w="960" w:type="dxa"/>
            <w:vMerge w:val="restart"/>
            <w:tcBorders>
              <w:top w:val="single" w:sz="4" w:space="0" w:color="auto"/>
              <w:left w:val="single" w:sz="4" w:space="0" w:color="auto"/>
              <w:bottom w:val="single" w:sz="4" w:space="0" w:color="000000"/>
              <w:right w:val="single" w:sz="4" w:space="0" w:color="auto"/>
            </w:tcBorders>
            <w:shd w:val="clear" w:color="auto" w:fill="E2EFDA"/>
            <w:noWrap/>
            <w:vAlign w:val="center"/>
            <w:hideMark/>
          </w:tcPr>
          <w:p w:rsidR="00795A46" w:rsidRDefault="00795A46">
            <w:pPr>
              <w:suppressAutoHyphens w:val="0"/>
              <w:jc w:val="center"/>
              <w:rPr>
                <w:rFonts w:cs="Calibri"/>
                <w:b/>
                <w:bCs/>
                <w:color w:val="000000"/>
                <w:szCs w:val="22"/>
                <w:lang w:eastAsia="hu-HU"/>
              </w:rPr>
            </w:pPr>
            <w:r>
              <w:rPr>
                <w:b/>
                <w:bCs/>
                <w:color w:val="000000"/>
                <w:lang w:eastAsia="hu-HU"/>
              </w:rPr>
              <w:t>Év</w:t>
            </w:r>
          </w:p>
        </w:tc>
        <w:tc>
          <w:tcPr>
            <w:tcW w:w="246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Betöltött védőnői álláshelyek száma</w:t>
            </w:r>
            <w:r>
              <w:rPr>
                <w:b/>
                <w:bCs/>
                <w:color w:val="000000"/>
                <w:lang w:eastAsia="hu-HU"/>
              </w:rPr>
              <w:br/>
            </w:r>
            <w:r>
              <w:rPr>
                <w:color w:val="000000"/>
                <w:lang w:eastAsia="hu-HU"/>
              </w:rPr>
              <w:t>(TS 109)</w:t>
            </w:r>
          </w:p>
        </w:tc>
        <w:tc>
          <w:tcPr>
            <w:tcW w:w="252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0-3 év közötti gyermekek száma</w:t>
            </w:r>
          </w:p>
        </w:tc>
        <w:tc>
          <w:tcPr>
            <w:tcW w:w="306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Átlagos gyermekszám védőnőnként</w:t>
            </w:r>
          </w:p>
        </w:tc>
      </w:tr>
      <w:tr w:rsidR="00795A46" w:rsidTr="00795A46">
        <w:trPr>
          <w:trHeight w:val="35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jc w:val="left"/>
              <w:rPr>
                <w:b/>
                <w:bCs/>
                <w:color w:val="000000"/>
                <w:szCs w:val="22"/>
                <w:lang w:eastAsia="hu-HU"/>
              </w:rPr>
            </w:pPr>
          </w:p>
        </w:tc>
        <w:tc>
          <w:tcPr>
            <w:tcW w:w="246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db</w:t>
            </w:r>
          </w:p>
        </w:tc>
        <w:tc>
          <w:tcPr>
            <w:tcW w:w="252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306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24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25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151</w:t>
            </w:r>
          </w:p>
        </w:tc>
        <w:tc>
          <w:tcPr>
            <w:tcW w:w="30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76</w:t>
            </w:r>
          </w:p>
        </w:tc>
      </w:tr>
      <w:tr w:rsidR="00795A46" w:rsidTr="00795A46">
        <w:trPr>
          <w:trHeight w:val="412"/>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2016</w:t>
            </w:r>
          </w:p>
        </w:tc>
        <w:tc>
          <w:tcPr>
            <w:tcW w:w="24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25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167</w:t>
            </w:r>
          </w:p>
        </w:tc>
        <w:tc>
          <w:tcPr>
            <w:tcW w:w="30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84</w:t>
            </w:r>
          </w:p>
        </w:tc>
      </w:tr>
      <w:tr w:rsidR="00795A46" w:rsidTr="00795A46">
        <w:trPr>
          <w:trHeight w:val="352"/>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2017</w:t>
            </w:r>
          </w:p>
        </w:tc>
        <w:tc>
          <w:tcPr>
            <w:tcW w:w="24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25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194</w:t>
            </w:r>
          </w:p>
        </w:tc>
        <w:tc>
          <w:tcPr>
            <w:tcW w:w="30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97</w:t>
            </w:r>
          </w:p>
        </w:tc>
      </w:tr>
      <w:tr w:rsidR="00795A46" w:rsidTr="00795A46">
        <w:trPr>
          <w:trHeight w:val="346"/>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2018</w:t>
            </w:r>
          </w:p>
        </w:tc>
        <w:tc>
          <w:tcPr>
            <w:tcW w:w="24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25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181</w:t>
            </w:r>
          </w:p>
        </w:tc>
        <w:tc>
          <w:tcPr>
            <w:tcW w:w="30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91</w:t>
            </w:r>
          </w:p>
        </w:tc>
      </w:tr>
      <w:tr w:rsidR="00795A46" w:rsidTr="00795A46">
        <w:trPr>
          <w:trHeight w:val="358"/>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2019</w:t>
            </w:r>
          </w:p>
        </w:tc>
        <w:tc>
          <w:tcPr>
            <w:tcW w:w="24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25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181</w:t>
            </w:r>
          </w:p>
        </w:tc>
        <w:tc>
          <w:tcPr>
            <w:tcW w:w="30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90,50</w:t>
            </w:r>
          </w:p>
        </w:tc>
      </w:tr>
      <w:tr w:rsidR="00795A46" w:rsidTr="00795A46">
        <w:trPr>
          <w:trHeight w:val="34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2020</w:t>
            </w:r>
          </w:p>
        </w:tc>
        <w:tc>
          <w:tcPr>
            <w:tcW w:w="24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25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171</w:t>
            </w:r>
          </w:p>
        </w:tc>
        <w:tc>
          <w:tcPr>
            <w:tcW w:w="30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85,50</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noProof/>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noProof/>
          <w:sz w:val="24"/>
        </w:rPr>
      </w:pPr>
      <w:r>
        <w:rPr>
          <w:rFonts w:ascii="Times New Roman" w:hAnsi="Times New Roman"/>
          <w:noProof/>
          <w:sz w:val="24"/>
        </w:rPr>
        <w:t>Forrás: TeIR, KSH Tstar, Önkormányzati adatok</w:t>
      </w: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noProof/>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noProof/>
        </w:rPr>
      </w:pPr>
      <w:r>
        <w:rPr>
          <w:noProof/>
          <w:lang w:eastAsia="hu-HU"/>
        </w:rPr>
        <w:drawing>
          <wp:inline distT="0" distB="0" distL="0" distR="0" wp14:anchorId="5812035D" wp14:editId="4617F694">
            <wp:extent cx="4086225" cy="2809875"/>
            <wp:effectExtent l="0" t="0" r="9525" b="9525"/>
            <wp:docPr id="37" name="Diagram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noProof/>
        </w:rPr>
      </w:pP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noProof/>
          <w:lang w:eastAsia="hu-HU"/>
        </w:rPr>
        <w:drawing>
          <wp:inline distT="0" distB="0" distL="0" distR="0" wp14:anchorId="205B65E8" wp14:editId="6D613C76">
            <wp:extent cx="4095750" cy="3048000"/>
            <wp:effectExtent l="0" t="0" r="0" b="0"/>
            <wp:docPr id="36" name="Diagram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708"/>
        <w:rPr>
          <w:rFonts w:ascii="Times New Roman" w:hAnsi="Times New Roman"/>
          <w:sz w:val="24"/>
        </w:rPr>
      </w:pPr>
      <w:r>
        <w:rPr>
          <w:rFonts w:ascii="Times New Roman" w:hAnsi="Times New Roman"/>
          <w:sz w:val="24"/>
        </w:rPr>
        <w:t>A fenti táblázatban kimutattuk a 0-3 év közötti, tehát a védőnői ellátás szoros látóterében lévő gyermekek számának alakulását az utóbbi években. Ebből is kitűnik, hogy a születésszám dinamikus növekedése az egy védőnőre jutó gyermekek számának emelkedését jelentette az elmúlt években. Annak ellenére, hogy a kiskorúaknak a lakosságszámhoz mért aránya évről évre csökken, a védőnők által kiemelt figyelemben, maximális gondoskodásban részesített, a gyermekét kedvezőtlenebb szociális és higiénés körülmények között is vállaló családok száma mind magasabb. Az újszülöttet, csecsemőt gondozó édesanyákkal szoros kapcsolatban állnak, hogy egészségvédelmi feladataikat a családra kiterjeszthessék, így járulva hozzá a gyermekvédelmi jelzőrendszer naprakész működéséhez.</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shd w:val="clear" w:color="auto" w:fill="00FF00"/>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shd w:val="clear" w:color="auto" w:fill="00FF00"/>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b)</w:t>
      </w:r>
      <w:r>
        <w:rPr>
          <w:rFonts w:ascii="Times New Roman" w:hAnsi="Times New Roman"/>
          <w:b/>
          <w:bCs/>
          <w:sz w:val="24"/>
        </w:rPr>
        <w:t xml:space="preserve"> gyermekorvosi ellátás jellemzői (pl. házi gyermekorvoshoz, gyermek szakorvosi ellátáshoz való hozzáférés, betöltetlen házi gyermekorvosi praxisok száma)</w:t>
      </w:r>
    </w:p>
    <w:p w:rsidR="00795A46" w:rsidRDefault="00795A46" w:rsidP="00795A46">
      <w:pPr>
        <w:autoSpaceDE w:val="0"/>
        <w:spacing w:after="20"/>
        <w:rPr>
          <w:rFonts w:ascii="Times New Roman" w:hAnsi="Times New Roman"/>
          <w:sz w:val="24"/>
        </w:rPr>
      </w:pPr>
      <w:r>
        <w:rPr>
          <w:rFonts w:ascii="Times New Roman" w:hAnsi="Times New Roman"/>
          <w:sz w:val="24"/>
        </w:rPr>
        <w:tab/>
      </w:r>
      <w:r>
        <w:rPr>
          <w:rFonts w:ascii="Times New Roman" w:hAnsi="Times New Roman"/>
          <w:sz w:val="24"/>
        </w:rPr>
        <w:br/>
        <w:t xml:space="preserve">A városban egy házi gyermekorvosi praxis működik. A gyermekorvos szűréseket, vizsgálatokat, iskola-egészségügyi ellátást végez. Nagy az elvándorlás, sok gyermeket más településre hordanak gyermekorvosi ellátásra. Gyermek-szakorvosi ellátás helyben nincs, azt Orosházán, Békéscsabán vagy Gyulán lehet elérni.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shd w:val="clear" w:color="auto" w:fill="00FF00"/>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shd w:val="clear" w:color="auto" w:fill="00FF00"/>
        </w:rPr>
      </w:pPr>
      <w:r>
        <w:rPr>
          <w:rFonts w:ascii="Times New Roman" w:hAnsi="Times New Roman"/>
          <w:sz w:val="24"/>
          <w:shd w:val="clear" w:color="auto" w:fill="00FF00"/>
        </w:rPr>
        <w:t>4.3.2. számú táblázat – Gyermekorvosi ellátás</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shd w:val="clear" w:color="auto" w:fill="00FF00"/>
        </w:rPr>
      </w:pPr>
    </w:p>
    <w:tbl>
      <w:tblPr>
        <w:tblW w:w="9000" w:type="dxa"/>
        <w:tblInd w:w="2" w:type="dxa"/>
        <w:tblCellMar>
          <w:left w:w="70" w:type="dxa"/>
          <w:right w:w="70" w:type="dxa"/>
        </w:tblCellMar>
        <w:tblLook w:val="00A0" w:firstRow="1" w:lastRow="0" w:firstColumn="1" w:lastColumn="0" w:noHBand="0" w:noVBand="0"/>
      </w:tblPr>
      <w:tblGrid>
        <w:gridCol w:w="821"/>
        <w:gridCol w:w="1519"/>
        <w:gridCol w:w="1620"/>
        <w:gridCol w:w="1800"/>
        <w:gridCol w:w="1620"/>
        <w:gridCol w:w="1620"/>
      </w:tblGrid>
      <w:tr w:rsidR="00795A46" w:rsidTr="00795A46">
        <w:trPr>
          <w:trHeight w:val="2117"/>
        </w:trPr>
        <w:tc>
          <w:tcPr>
            <w:tcW w:w="821" w:type="dxa"/>
            <w:vMerge w:val="restart"/>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jc w:val="center"/>
              <w:rPr>
                <w:rFonts w:cs="Calibri"/>
                <w:b/>
                <w:bCs/>
                <w:szCs w:val="22"/>
                <w:lang w:eastAsia="hu-HU"/>
              </w:rPr>
            </w:pPr>
            <w:r>
              <w:rPr>
                <w:b/>
                <w:bCs/>
                <w:lang w:eastAsia="hu-HU"/>
              </w:rPr>
              <w:t>Év</w:t>
            </w:r>
          </w:p>
        </w:tc>
        <w:tc>
          <w:tcPr>
            <w:tcW w:w="1519"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Felnőttek és gyermekek részére szervezett háziorvosi szolgálatok száma</w:t>
            </w:r>
            <w:r>
              <w:rPr>
                <w:b/>
                <w:bCs/>
                <w:lang w:eastAsia="hu-HU"/>
              </w:rPr>
              <w:br/>
            </w:r>
            <w:r>
              <w:rPr>
                <w:lang w:eastAsia="hu-HU"/>
              </w:rPr>
              <w:t>(TS 107)</w:t>
            </w:r>
          </w:p>
        </w:tc>
        <w:tc>
          <w:tcPr>
            <w:tcW w:w="162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Csak felnőttek részére szervezett háziorvosi szolgáltatások száma</w:t>
            </w:r>
            <w:r>
              <w:rPr>
                <w:b/>
                <w:bCs/>
                <w:lang w:eastAsia="hu-HU"/>
              </w:rPr>
              <w:br/>
            </w:r>
            <w:r>
              <w:rPr>
                <w:lang w:eastAsia="hu-HU"/>
              </w:rPr>
              <w:t>(TS 106)</w:t>
            </w:r>
          </w:p>
        </w:tc>
        <w:tc>
          <w:tcPr>
            <w:tcW w:w="180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A házi gyermekorvosok által ellátott szolgálatok száma</w:t>
            </w:r>
            <w:r>
              <w:rPr>
                <w:b/>
                <w:bCs/>
                <w:lang w:eastAsia="hu-HU"/>
              </w:rPr>
              <w:br/>
            </w:r>
            <w:r>
              <w:rPr>
                <w:lang w:eastAsia="hu-HU"/>
              </w:rPr>
              <w:t>(TS 108)</w:t>
            </w:r>
          </w:p>
        </w:tc>
        <w:tc>
          <w:tcPr>
            <w:tcW w:w="162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Gyermekorvos által ellátott gyerekek száma </w:t>
            </w:r>
          </w:p>
        </w:tc>
        <w:tc>
          <w:tcPr>
            <w:tcW w:w="162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Felnőtt házi orvos által ellátott gyerekek száma </w:t>
            </w:r>
          </w:p>
        </w:tc>
      </w:tr>
      <w:tr w:rsidR="00795A46" w:rsidTr="00795A46">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1519"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db</w:t>
            </w:r>
          </w:p>
        </w:tc>
        <w:tc>
          <w:tcPr>
            <w:tcW w:w="162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db</w:t>
            </w:r>
          </w:p>
        </w:tc>
        <w:tc>
          <w:tcPr>
            <w:tcW w:w="180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db</w:t>
            </w:r>
          </w:p>
        </w:tc>
        <w:tc>
          <w:tcPr>
            <w:tcW w:w="162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162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r>
      <w:tr w:rsidR="00795A46" w:rsidTr="00795A46">
        <w:trPr>
          <w:trHeight w:val="300"/>
        </w:trPr>
        <w:tc>
          <w:tcPr>
            <w:tcW w:w="821"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151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5 494</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r>
      <w:tr w:rsidR="00795A46" w:rsidTr="00795A46">
        <w:trPr>
          <w:trHeight w:val="479"/>
        </w:trPr>
        <w:tc>
          <w:tcPr>
            <w:tcW w:w="821"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151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5 260</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r>
      <w:tr w:rsidR="00795A46" w:rsidTr="00795A46">
        <w:trPr>
          <w:trHeight w:val="350"/>
        </w:trPr>
        <w:tc>
          <w:tcPr>
            <w:tcW w:w="821"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151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5 375</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r>
      <w:tr w:rsidR="00795A46" w:rsidTr="00795A46">
        <w:trPr>
          <w:trHeight w:val="523"/>
        </w:trPr>
        <w:tc>
          <w:tcPr>
            <w:tcW w:w="821"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151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5 335</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r>
      <w:tr w:rsidR="00795A46" w:rsidTr="00795A46">
        <w:trPr>
          <w:trHeight w:val="366"/>
        </w:trPr>
        <w:tc>
          <w:tcPr>
            <w:tcW w:w="821"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151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5 174</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r>
      <w:tr w:rsidR="00795A46" w:rsidTr="00795A46">
        <w:trPr>
          <w:trHeight w:val="348"/>
        </w:trPr>
        <w:tc>
          <w:tcPr>
            <w:tcW w:w="821"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151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4 122</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r>
    </w:tbl>
    <w:p w:rsidR="00795A46" w:rsidRDefault="00795A46" w:rsidP="00795A46">
      <w:pPr>
        <w:rPr>
          <w:rFonts w:ascii="Times New Roman" w:hAnsi="Times New Roman"/>
          <w:color w:val="000000"/>
          <w:szCs w:val="22"/>
          <w:lang w:eastAsia="hu-HU"/>
        </w:rPr>
      </w:pPr>
    </w:p>
    <w:p w:rsidR="00795A46" w:rsidRDefault="00795A46" w:rsidP="00795A46">
      <w:pPr>
        <w:rPr>
          <w:rFonts w:ascii="Times New Roman" w:hAnsi="Times New Roman"/>
          <w:color w:val="000000"/>
          <w:lang w:eastAsia="hu-HU"/>
        </w:rPr>
      </w:pPr>
      <w:r>
        <w:rPr>
          <w:rFonts w:ascii="Times New Roman" w:hAnsi="Times New Roman"/>
          <w:color w:val="000000"/>
          <w:lang w:eastAsia="hu-HU"/>
        </w:rPr>
        <w:t>Forrás: TeIR - KSH Tstar, önkormányzati adatgyűjtés</w:t>
      </w:r>
    </w:p>
    <w:p w:rsidR="00795A46" w:rsidRDefault="00795A46" w:rsidP="00795A46">
      <w:pPr>
        <w:rPr>
          <w:rFonts w:ascii="Times New Roman" w:hAnsi="Times New Roman"/>
          <w:color w:val="000000"/>
          <w:sz w:val="24"/>
        </w:rPr>
      </w:pPr>
      <w:r>
        <w:rPr>
          <w:noProof/>
          <w:lang w:eastAsia="hu-HU"/>
        </w:rPr>
        <w:drawing>
          <wp:inline distT="0" distB="0" distL="0" distR="0" wp14:anchorId="46596A23" wp14:editId="6F499083">
            <wp:extent cx="4772025" cy="3781425"/>
            <wp:effectExtent l="0" t="0" r="9525" b="9525"/>
            <wp:docPr id="35" name="Diagram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95A46" w:rsidRDefault="00795A46" w:rsidP="00795A46">
      <w:pPr>
        <w:rPr>
          <w:rFonts w:ascii="Times New Roman" w:hAnsi="Times New Roman"/>
          <w:color w:val="000000"/>
          <w:sz w:val="24"/>
        </w:rPr>
      </w:pPr>
    </w:p>
    <w:p w:rsidR="00795A46" w:rsidRDefault="00795A46" w:rsidP="00795A46">
      <w:pPr>
        <w:rPr>
          <w:rFonts w:ascii="Times New Roman" w:hAnsi="Times New Roman"/>
          <w:sz w:val="24"/>
        </w:rPr>
      </w:pPr>
      <w:r>
        <w:rPr>
          <w:rFonts w:ascii="Times New Roman" w:hAnsi="Times New Roman"/>
          <w:sz w:val="24"/>
        </w:rPr>
        <w:t xml:space="preserve">A bevezető dokumentum 3. számú, településünk egyre öregedő lakosságának egészségügyi helyzetét bemutató táblázatában található információk mellett jól jellemzik azt a fenti táblázat adatsorai is, hiszen annak ellenére, hogy a lakónépesség fogyásának jelei mutatkoznak statisztikai adatainkban, a háziorvosok által ellátott esetek száma ennek ellenére stagnál a lakosságszám csökkenésének mértékéhez képest. </w:t>
      </w:r>
    </w:p>
    <w:p w:rsidR="00795A46" w:rsidRDefault="00795A46" w:rsidP="00795A46">
      <w:pPr>
        <w:rPr>
          <w:rFonts w:ascii="Times New Roman" w:hAnsi="Times New Roman"/>
          <w:color w:val="000000"/>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c)</w:t>
      </w:r>
      <w:r>
        <w:rPr>
          <w:rFonts w:ascii="Times New Roman" w:hAnsi="Times New Roman"/>
          <w:b/>
          <w:bCs/>
          <w:sz w:val="24"/>
        </w:rPr>
        <w:t xml:space="preserve"> 0–7 éves korúak speciális (egészségügyi-szociális, valamint oktatási) ellátási igényeire (pl. korai fejlesztésre, rehabilitációra) vonatkozó adatok</w:t>
      </w: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ind w:firstLine="709"/>
        <w:rPr>
          <w:rFonts w:ascii="Times New Roman" w:hAnsi="Times New Roman"/>
          <w:sz w:val="24"/>
        </w:rPr>
      </w:pPr>
      <w:r>
        <w:rPr>
          <w:rFonts w:ascii="Times New Roman" w:hAnsi="Times New Roman"/>
          <w:sz w:val="24"/>
        </w:rPr>
        <w:t>Helyben nincs lehetőség a gyermekek korai fejlesztésére, rehabilitációjára. A speciális ellátást igénylő gyermekek egészségügyi-szociális és oktatási problémájának korai felismerését a védőnők és az óvodapedagógusok nagy szakértelme segíti, akik a gyermekorvos felé jelzik az észlelt problémát.  A gyermekorvostól a szakellátó helyre, innen pedig a megfelelő speciális képzést nyújtó intézetbe eljutni hosszú idő, nem működnek a beteg-utak.  Általában a szülőknek kell felderíteni, hogy melyek azok az intézmények, ahol a gyermek a speciális helyzetének (betegségének) megfelelő fejlesztést tudja megkapni.</w:t>
      </w:r>
    </w:p>
    <w:p w:rsidR="00795A46" w:rsidRDefault="00795A46" w:rsidP="00795A46">
      <w:pPr>
        <w:autoSpaceDE w:val="0"/>
        <w:spacing w:after="20"/>
        <w:ind w:firstLine="142"/>
        <w:rPr>
          <w:rFonts w:ascii="Times New Roman" w:hAnsi="Times New Roman"/>
          <w:i/>
          <w:iCs/>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numPr>
          <w:ilvl w:val="0"/>
          <w:numId w:val="17"/>
        </w:numPr>
        <w:autoSpaceDE w:val="0"/>
        <w:spacing w:after="20"/>
        <w:rPr>
          <w:rFonts w:ascii="Times New Roman" w:hAnsi="Times New Roman"/>
          <w:b/>
          <w:bCs/>
          <w:sz w:val="24"/>
        </w:rPr>
      </w:pPr>
      <w:r>
        <w:rPr>
          <w:rFonts w:ascii="Times New Roman" w:hAnsi="Times New Roman"/>
          <w:b/>
          <w:bCs/>
          <w:sz w:val="24"/>
        </w:rPr>
        <w:t>gyermekjóléti alapellátások, Biztos Kezdet Gyerekház, Tanoda, gyermekszegénységet csökkentő speciális szolgáltatások</w:t>
      </w:r>
    </w:p>
    <w:p w:rsidR="00795A46" w:rsidRDefault="00795A46" w:rsidP="00795A46">
      <w:pPr>
        <w:pStyle w:val="NormlCalibri11"/>
        <w:pBdr>
          <w:top w:val="none" w:sz="0" w:space="0" w:color="auto"/>
          <w:left w:val="none" w:sz="0" w:space="0" w:color="auto"/>
          <w:bottom w:val="none" w:sz="0" w:space="0" w:color="auto"/>
          <w:right w:val="none" w:sz="0" w:space="0" w:color="auto"/>
        </w:pBdr>
        <w:ind w:left="-5"/>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ind w:left="-5"/>
        <w:rPr>
          <w:rFonts w:ascii="Times New Roman" w:hAnsi="Times New Roman"/>
        </w:rPr>
      </w:pPr>
    </w:p>
    <w:p w:rsidR="00795A46" w:rsidRDefault="00795A46" w:rsidP="00795A46">
      <w:pPr>
        <w:suppressAutoHyphens w:val="0"/>
        <w:ind w:firstLine="709"/>
        <w:rPr>
          <w:rFonts w:ascii="Times New Roman" w:hAnsi="Times New Roman"/>
          <w:sz w:val="24"/>
          <w:lang w:eastAsia="hu-HU"/>
        </w:rPr>
      </w:pPr>
      <w:r>
        <w:rPr>
          <w:rFonts w:ascii="Times New Roman" w:hAnsi="Times New Roman"/>
          <w:sz w:val="24"/>
          <w:lang w:eastAsia="hu-HU"/>
        </w:rPr>
        <w:t xml:space="preserve">Csorvás Város Önkormányzata a kötelező feladat-ellátási körébe tartozó, személyes gondoskodás keretében nyújtott gyermekjóléti alapellátásokat integrált intézményén, a Kistérségi Gyermekjóléti és Családsegítő Szolgálaton keresztül biztosítja. A szolgáltatás valamennyi tevékenysége – a gyermekvédelmi törvény szellemiségére és szabályozására építkezve – a gyermekek családban történő nevelkedésének elősegítésére, veszélyeztetettségének megelőzésére és megszüntetésére, valamint a szülői vagy más hozzátartozói gondoskodásból kikerülő gyermek helyettesítő védelmének biztosítására irányul. </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A veszélyeztetettség a gyermekvédelmi törvény szerint „olyan – magatartás, mulasztás vagy körülmény következtében kialakult – állapot, amely a gyermek testi, értelmi, érzelmi vagy erkölcsi fejlődését gátolja vagy akadályozza”.</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 xml:space="preserve">A veszélyeztetettség már kora gyermekkorban megjelenik. A jelzőrendszer működésének köszönhetően ezek hamar kiszűrésre kerülnek városunkban, akik a családsegítő és gyermekjóléti szolgálat javaslatára igénybe veszik a bölcsődei alapellátást. Sajnos településünkön nem működik sem Biztos Kezdet Gyermekház, sem tanoda, céljaink között szerepel, hogy városunkban is a lakosság rendelkezésére álljanak ezek a gyermekek integrálódását, a gyermekközösségek kialakulását segítő szolgáltatások. </w:t>
      </w:r>
    </w:p>
    <w:p w:rsidR="00795A46" w:rsidRDefault="00795A46" w:rsidP="00795A46">
      <w:pPr>
        <w:suppressAutoHyphens w:val="0"/>
        <w:rPr>
          <w:rFonts w:ascii="Times New Roman" w:hAnsi="Times New Roman"/>
          <w:sz w:val="24"/>
          <w:lang w:eastAsia="hu-HU"/>
        </w:rPr>
      </w:pPr>
    </w:p>
    <w:p w:rsidR="00795A46" w:rsidRDefault="00795A46" w:rsidP="00795A46">
      <w:pPr>
        <w:pStyle w:val="Tblacm"/>
        <w:rPr>
          <w:rFonts w:ascii="Times New Roman" w:hAnsi="Times New Roman"/>
          <w:sz w:val="20"/>
          <w:szCs w:val="20"/>
          <w:shd w:val="clear" w:color="auto" w:fill="00FF00"/>
        </w:rPr>
      </w:pPr>
    </w:p>
    <w:p w:rsidR="00795A46" w:rsidRDefault="00795A46" w:rsidP="00795A46">
      <w:pPr>
        <w:numPr>
          <w:ilvl w:val="0"/>
          <w:numId w:val="17"/>
        </w:numPr>
        <w:autoSpaceDE w:val="0"/>
        <w:spacing w:after="20"/>
        <w:rPr>
          <w:rFonts w:ascii="Times New Roman" w:hAnsi="Times New Roman"/>
          <w:b/>
          <w:bCs/>
          <w:sz w:val="24"/>
        </w:rPr>
      </w:pPr>
      <w:r>
        <w:rPr>
          <w:rFonts w:ascii="Times New Roman" w:hAnsi="Times New Roman"/>
          <w:b/>
          <w:bCs/>
          <w:sz w:val="24"/>
        </w:rPr>
        <w:t>gyermekek napközbeni ellátásai, bölcsődei ellátás</w:t>
      </w:r>
    </w:p>
    <w:p w:rsidR="00795A46" w:rsidRDefault="00795A46" w:rsidP="00795A46">
      <w:pPr>
        <w:pStyle w:val="Tblacm"/>
        <w:rPr>
          <w:rFonts w:ascii="Times New Roman" w:hAnsi="Times New Roman"/>
          <w:bCs w:val="0"/>
          <w:sz w:val="20"/>
          <w:szCs w:val="20"/>
          <w:shd w:val="clear" w:color="auto" w:fill="00FF00"/>
        </w:rPr>
      </w:pPr>
    </w:p>
    <w:p w:rsidR="00795A46" w:rsidRDefault="00795A46" w:rsidP="00795A46">
      <w:pPr>
        <w:pStyle w:val="Tblacm"/>
        <w:rPr>
          <w:rFonts w:ascii="Times New Roman" w:hAnsi="Times New Roman"/>
          <w:sz w:val="20"/>
          <w:szCs w:val="20"/>
          <w:shd w:val="clear" w:color="auto" w:fill="00FF00"/>
        </w:rPr>
      </w:pPr>
    </w:p>
    <w:p w:rsidR="00795A46" w:rsidRDefault="00795A46" w:rsidP="00795A46">
      <w:pPr>
        <w:ind w:firstLine="709"/>
        <w:rPr>
          <w:rFonts w:ascii="Times New Roman" w:hAnsi="Times New Roman"/>
          <w:color w:val="000000"/>
          <w:sz w:val="24"/>
        </w:rPr>
      </w:pPr>
      <w:r>
        <w:rPr>
          <w:rFonts w:ascii="Times New Roman" w:hAnsi="Times New Roman"/>
          <w:sz w:val="24"/>
        </w:rPr>
        <w:t xml:space="preserve">Csorváson a gyermekek napközbeni ellátását biztosító bölcsőde intézmény jelenleg 24 férőhellyel rendelkezik. A családok körében olyan jelentős volt ugyanis az igény arra, hogy a szülők munkavégzése, illetve a szociális rászorultság alapján gondozásba vegyék a kétéves életkort betöltött kisgyermekeket, hogy az önkormányzat a bölcsődei ellátás teljesítőképességét egy 20 fő befogadására alkalmassá vált intézményi átszervezéssel oldotta meg 2013-ban, </w:t>
      </w:r>
      <w:r>
        <w:rPr>
          <w:rFonts w:ascii="Times New Roman" w:hAnsi="Times New Roman"/>
          <w:color w:val="000000"/>
          <w:sz w:val="24"/>
        </w:rPr>
        <w:t>ám ez a kapacitás is kevésnek bizonyult, így 2020-tól 24 fő ellátására képes feladatellátási helyként működik tovább. 2022. novemberében pedig várhatóan beköltözhetővé válik a 8 kisgyermek ellátására képes mini bölcsőde intézményegységünk, amely közvetlenül a bölcsőde épülete mellett kerül kialakításra, és újabb szülők számára teszi lehetővé gyermekük napközbeni ellátását.</w:t>
      </w:r>
    </w:p>
    <w:p w:rsidR="00795A46" w:rsidRDefault="00795A46" w:rsidP="00795A46">
      <w:pPr>
        <w:pStyle w:val="Tblacm"/>
        <w:rPr>
          <w:rFonts w:ascii="Times New Roman" w:hAnsi="Times New Roman"/>
          <w:sz w:val="20"/>
          <w:szCs w:val="20"/>
          <w:shd w:val="clear" w:color="auto" w:fill="00FF00"/>
        </w:rPr>
      </w:pPr>
    </w:p>
    <w:p w:rsidR="00795A46" w:rsidRDefault="00795A46" w:rsidP="00795A46">
      <w:pPr>
        <w:pStyle w:val="Tblacm"/>
        <w:rPr>
          <w:rFonts w:ascii="Times New Roman" w:hAnsi="Times New Roman"/>
          <w:sz w:val="24"/>
          <w:szCs w:val="24"/>
          <w:shd w:val="clear" w:color="auto" w:fill="00FF00"/>
        </w:rPr>
      </w:pPr>
      <w:bookmarkStart w:id="88" w:name="__RefHeading__151_1906745769"/>
      <w:bookmarkEnd w:id="88"/>
      <w:r>
        <w:rPr>
          <w:rFonts w:ascii="Times New Roman" w:hAnsi="Times New Roman"/>
          <w:sz w:val="24"/>
          <w:szCs w:val="24"/>
          <w:shd w:val="clear" w:color="auto" w:fill="00FF00"/>
        </w:rPr>
        <w:t>4.3.3.a) számú táblázat - Bölcsődék és bölcsődébe beíratott gyermekek száma</w:t>
      </w:r>
    </w:p>
    <w:p w:rsidR="00795A46" w:rsidRDefault="00795A46" w:rsidP="00795A46">
      <w:pPr>
        <w:pStyle w:val="Tblacm"/>
        <w:rPr>
          <w:rFonts w:ascii="Times New Roman" w:hAnsi="Times New Roman"/>
          <w:sz w:val="24"/>
          <w:szCs w:val="24"/>
          <w:shd w:val="clear" w:color="auto" w:fill="00FF00"/>
        </w:rPr>
      </w:pPr>
    </w:p>
    <w:tbl>
      <w:tblPr>
        <w:tblW w:w="9180" w:type="dxa"/>
        <w:tblInd w:w="2" w:type="dxa"/>
        <w:tblCellMar>
          <w:left w:w="70" w:type="dxa"/>
          <w:right w:w="70" w:type="dxa"/>
        </w:tblCellMar>
        <w:tblLook w:val="00A0" w:firstRow="1" w:lastRow="0" w:firstColumn="1" w:lastColumn="0" w:noHBand="0" w:noVBand="0"/>
      </w:tblPr>
      <w:tblGrid>
        <w:gridCol w:w="1600"/>
        <w:gridCol w:w="3440"/>
        <w:gridCol w:w="4140"/>
      </w:tblGrid>
      <w:tr w:rsidR="00795A46" w:rsidTr="00795A46">
        <w:trPr>
          <w:trHeight w:val="994"/>
        </w:trPr>
        <w:tc>
          <w:tcPr>
            <w:tcW w:w="1600" w:type="dxa"/>
            <w:vMerge w:val="restart"/>
            <w:tcBorders>
              <w:top w:val="single" w:sz="4" w:space="0" w:color="auto"/>
              <w:left w:val="single" w:sz="4" w:space="0" w:color="auto"/>
              <w:bottom w:val="single" w:sz="4" w:space="0" w:color="000000"/>
              <w:right w:val="single" w:sz="4" w:space="0" w:color="auto"/>
            </w:tcBorders>
            <w:shd w:val="clear" w:color="auto" w:fill="E2EFDA"/>
            <w:noWrap/>
            <w:vAlign w:val="center"/>
            <w:hideMark/>
          </w:tcPr>
          <w:p w:rsidR="00795A46" w:rsidRDefault="00795A46">
            <w:pPr>
              <w:suppressAutoHyphens w:val="0"/>
              <w:jc w:val="center"/>
              <w:rPr>
                <w:rFonts w:cs="Calibri"/>
                <w:b/>
                <w:bCs/>
                <w:szCs w:val="22"/>
                <w:lang w:eastAsia="hu-HU"/>
              </w:rPr>
            </w:pPr>
            <w:r>
              <w:rPr>
                <w:b/>
                <w:bCs/>
                <w:lang w:eastAsia="hu-HU"/>
              </w:rPr>
              <w:t>Év</w:t>
            </w:r>
          </w:p>
        </w:tc>
        <w:tc>
          <w:tcPr>
            <w:tcW w:w="344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Működő, önkormányzati bölcsődei férőhelyek száma</w:t>
            </w:r>
          </w:p>
        </w:tc>
        <w:tc>
          <w:tcPr>
            <w:tcW w:w="414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Önkormányzati bölcsődébe beírt gyerekek száma</w:t>
            </w:r>
          </w:p>
        </w:tc>
      </w:tr>
      <w:tr w:rsidR="00795A46" w:rsidTr="00795A46">
        <w:trPr>
          <w:trHeight w:val="346"/>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jc w:val="left"/>
              <w:rPr>
                <w:b/>
                <w:bCs/>
                <w:szCs w:val="22"/>
                <w:lang w:eastAsia="hu-HU"/>
              </w:rPr>
            </w:pPr>
          </w:p>
        </w:tc>
        <w:tc>
          <w:tcPr>
            <w:tcW w:w="344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db</w:t>
            </w:r>
          </w:p>
        </w:tc>
        <w:tc>
          <w:tcPr>
            <w:tcW w:w="414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r>
      <w:tr w:rsidR="00795A46" w:rsidTr="00795A46">
        <w:trPr>
          <w:trHeight w:val="300"/>
        </w:trPr>
        <w:tc>
          <w:tcPr>
            <w:tcW w:w="16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3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c>
          <w:tcPr>
            <w:tcW w:w="41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r>
      <w:tr w:rsidR="00795A46" w:rsidTr="00795A46">
        <w:trPr>
          <w:trHeight w:val="394"/>
        </w:trPr>
        <w:tc>
          <w:tcPr>
            <w:tcW w:w="16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3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c>
          <w:tcPr>
            <w:tcW w:w="41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r>
      <w:tr w:rsidR="00795A46" w:rsidTr="00795A46">
        <w:trPr>
          <w:trHeight w:val="348"/>
        </w:trPr>
        <w:tc>
          <w:tcPr>
            <w:tcW w:w="16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3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c>
          <w:tcPr>
            <w:tcW w:w="41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r>
      <w:tr w:rsidR="00795A46" w:rsidTr="00795A46">
        <w:trPr>
          <w:trHeight w:val="344"/>
        </w:trPr>
        <w:tc>
          <w:tcPr>
            <w:tcW w:w="16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3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c>
          <w:tcPr>
            <w:tcW w:w="41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r>
      <w:tr w:rsidR="00795A46" w:rsidTr="00795A46">
        <w:trPr>
          <w:trHeight w:val="367"/>
        </w:trPr>
        <w:tc>
          <w:tcPr>
            <w:tcW w:w="16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3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24</w:t>
            </w:r>
          </w:p>
        </w:tc>
        <w:tc>
          <w:tcPr>
            <w:tcW w:w="41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22</w:t>
            </w:r>
          </w:p>
        </w:tc>
      </w:tr>
      <w:tr w:rsidR="00795A46" w:rsidTr="00795A46">
        <w:trPr>
          <w:trHeight w:val="350"/>
        </w:trPr>
        <w:tc>
          <w:tcPr>
            <w:tcW w:w="16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3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24</w:t>
            </w:r>
          </w:p>
        </w:tc>
        <w:tc>
          <w:tcPr>
            <w:tcW w:w="41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22</w:t>
            </w:r>
          </w:p>
        </w:tc>
      </w:tr>
    </w:tbl>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Forrás: TeIR - KSH-TSTAR</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noProof/>
          <w:lang w:eastAsia="hu-HU"/>
        </w:rPr>
        <w:drawing>
          <wp:inline distT="0" distB="0" distL="0" distR="0" wp14:anchorId="7439DC96" wp14:editId="6AD04F04">
            <wp:extent cx="4648200" cy="2800350"/>
            <wp:effectExtent l="0" t="0" r="0" b="0"/>
            <wp:docPr id="34" name="Kép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2"/>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8200" cy="2800350"/>
                    </a:xfrm>
                    <a:prstGeom prst="rect">
                      <a:avLst/>
                    </a:prstGeom>
                    <a:noFill/>
                    <a:ln>
                      <a:noFill/>
                    </a:ln>
                  </pic:spPr>
                </pic:pic>
              </a:graphicData>
            </a:graphic>
          </wp:inline>
        </w:drawing>
      </w:r>
    </w:p>
    <w:p w:rsidR="00795A46" w:rsidRDefault="00795A46" w:rsidP="00795A46">
      <w:pP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highlight w:val="green"/>
        </w:rPr>
        <w:t>4.3.3. b.) számú táblázat - Bölcsődék és bölcsődébe beíratott gyermekek száma</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tbl>
      <w:tblPr>
        <w:tblW w:w="10004" w:type="dxa"/>
        <w:tblInd w:w="2" w:type="dxa"/>
        <w:tblCellMar>
          <w:left w:w="70" w:type="dxa"/>
          <w:right w:w="70" w:type="dxa"/>
        </w:tblCellMar>
        <w:tblLook w:val="00A0" w:firstRow="1" w:lastRow="0" w:firstColumn="1" w:lastColumn="0" w:noHBand="0" w:noVBand="0"/>
      </w:tblPr>
      <w:tblGrid>
        <w:gridCol w:w="640"/>
        <w:gridCol w:w="1211"/>
        <w:gridCol w:w="1224"/>
        <w:gridCol w:w="1121"/>
        <w:gridCol w:w="1326"/>
        <w:gridCol w:w="1121"/>
        <w:gridCol w:w="1187"/>
        <w:gridCol w:w="1121"/>
        <w:gridCol w:w="1192"/>
      </w:tblGrid>
      <w:tr w:rsidR="00795A46" w:rsidTr="00795A46">
        <w:trPr>
          <w:trHeight w:val="2715"/>
        </w:trPr>
        <w:tc>
          <w:tcPr>
            <w:tcW w:w="640" w:type="dxa"/>
            <w:vMerge w:val="restart"/>
            <w:tcBorders>
              <w:top w:val="single" w:sz="4" w:space="0" w:color="auto"/>
              <w:left w:val="single" w:sz="4" w:space="0" w:color="auto"/>
              <w:bottom w:val="single" w:sz="4" w:space="0" w:color="000000"/>
              <w:right w:val="single" w:sz="4" w:space="0" w:color="auto"/>
            </w:tcBorders>
            <w:shd w:val="clear" w:color="auto" w:fill="E2EFDA"/>
            <w:noWrap/>
            <w:vAlign w:val="center"/>
            <w:hideMark/>
          </w:tcPr>
          <w:p w:rsidR="00795A46" w:rsidRDefault="00795A46">
            <w:pPr>
              <w:suppressAutoHyphens w:val="0"/>
              <w:jc w:val="center"/>
              <w:rPr>
                <w:rFonts w:cs="Calibri"/>
                <w:b/>
                <w:bCs/>
                <w:lang w:eastAsia="hu-HU"/>
              </w:rPr>
            </w:pPr>
            <w:r>
              <w:rPr>
                <w:b/>
                <w:bCs/>
                <w:lang w:eastAsia="hu-HU"/>
              </w:rPr>
              <w:t>Év</w:t>
            </w:r>
          </w:p>
        </w:tc>
        <w:tc>
          <w:tcPr>
            <w:tcW w:w="1211"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Működő munkahelyi bölcsődei férőhelyek száma</w:t>
            </w:r>
            <w:r>
              <w:rPr>
                <w:lang w:eastAsia="hu-HU"/>
              </w:rPr>
              <w:t xml:space="preserve"> (TS 126)</w:t>
            </w:r>
          </w:p>
        </w:tc>
        <w:tc>
          <w:tcPr>
            <w:tcW w:w="1224"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Munkahelyi bölcsődébe beírt gyerekek száma</w:t>
            </w:r>
            <w:r>
              <w:rPr>
                <w:lang w:eastAsia="hu-HU"/>
              </w:rPr>
              <w:t xml:space="preserve"> (TS 122)</w:t>
            </w:r>
          </w:p>
        </w:tc>
        <w:tc>
          <w:tcPr>
            <w:tcW w:w="1121"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Működő családi bölcsödei  férőhelyek száma </w:t>
            </w:r>
            <w:r>
              <w:rPr>
                <w:b/>
                <w:bCs/>
                <w:lang w:eastAsia="hu-HU"/>
              </w:rPr>
              <w:br/>
            </w:r>
            <w:r>
              <w:rPr>
                <w:lang w:eastAsia="hu-HU"/>
              </w:rPr>
              <w:t>(TS 125)</w:t>
            </w:r>
          </w:p>
        </w:tc>
        <w:tc>
          <w:tcPr>
            <w:tcW w:w="1326"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Családi bölcsődébe beírt gyerekek száma</w:t>
            </w:r>
            <w:r>
              <w:rPr>
                <w:lang w:eastAsia="hu-HU"/>
              </w:rPr>
              <w:t xml:space="preserve"> (TS 121)</w:t>
            </w:r>
          </w:p>
        </w:tc>
        <w:tc>
          <w:tcPr>
            <w:tcW w:w="982"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Működő mini bölcsődei férőhelyek száma </w:t>
            </w:r>
            <w:r>
              <w:rPr>
                <w:lang w:eastAsia="hu-HU"/>
              </w:rPr>
              <w:t>(TS 127)</w:t>
            </w:r>
          </w:p>
        </w:tc>
        <w:tc>
          <w:tcPr>
            <w:tcW w:w="1187"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Mini bölcsődébe beírt gyerekek száma </w:t>
            </w:r>
            <w:r>
              <w:rPr>
                <w:lang w:eastAsia="hu-HU"/>
              </w:rPr>
              <w:t>(TS 123)</w:t>
            </w:r>
          </w:p>
        </w:tc>
        <w:tc>
          <w:tcPr>
            <w:tcW w:w="1121"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Működő (összes) bölcsődei férőhelyek száma </w:t>
            </w:r>
            <w:r>
              <w:rPr>
                <w:lang w:eastAsia="hu-HU"/>
              </w:rPr>
              <w:t>(TS 124)</w:t>
            </w:r>
          </w:p>
        </w:tc>
        <w:tc>
          <w:tcPr>
            <w:tcW w:w="1192"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Bölcsődébe (összes) beírt gyermekek száma</w:t>
            </w:r>
            <w:r>
              <w:rPr>
                <w:b/>
                <w:bCs/>
                <w:lang w:eastAsia="hu-HU"/>
              </w:rPr>
              <w:br/>
            </w:r>
            <w:r>
              <w:rPr>
                <w:lang w:eastAsia="hu-HU"/>
              </w:rPr>
              <w:t>(TS 120)</w:t>
            </w:r>
          </w:p>
        </w:tc>
      </w:tr>
      <w:tr w:rsidR="00795A46" w:rsidTr="00795A46">
        <w:trPr>
          <w:trHeight w:val="70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jc w:val="left"/>
              <w:rPr>
                <w:b/>
                <w:bCs/>
                <w:szCs w:val="22"/>
                <w:lang w:eastAsia="hu-HU"/>
              </w:rPr>
            </w:pPr>
          </w:p>
        </w:tc>
        <w:tc>
          <w:tcPr>
            <w:tcW w:w="1211"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db</w:t>
            </w:r>
          </w:p>
        </w:tc>
        <w:tc>
          <w:tcPr>
            <w:tcW w:w="1224"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1121"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db</w:t>
            </w:r>
          </w:p>
        </w:tc>
        <w:tc>
          <w:tcPr>
            <w:tcW w:w="1326"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982"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db</w:t>
            </w:r>
          </w:p>
        </w:tc>
        <w:tc>
          <w:tcPr>
            <w:tcW w:w="1187"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1121"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db</w:t>
            </w:r>
          </w:p>
        </w:tc>
        <w:tc>
          <w:tcPr>
            <w:tcW w:w="1192"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r>
      <w:tr w:rsidR="00795A46" w:rsidTr="00795A46">
        <w:trPr>
          <w:trHeight w:val="300"/>
        </w:trPr>
        <w:tc>
          <w:tcPr>
            <w:tcW w:w="6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121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22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2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32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98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2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c>
          <w:tcPr>
            <w:tcW w:w="119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r w:rsidR="00795A46" w:rsidTr="00795A46">
        <w:trPr>
          <w:trHeight w:val="583"/>
        </w:trPr>
        <w:tc>
          <w:tcPr>
            <w:tcW w:w="6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121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22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2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32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98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2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c>
          <w:tcPr>
            <w:tcW w:w="119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r w:rsidR="00795A46" w:rsidTr="00795A46">
        <w:trPr>
          <w:trHeight w:val="534"/>
        </w:trPr>
        <w:tc>
          <w:tcPr>
            <w:tcW w:w="6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121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22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2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32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98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2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c>
          <w:tcPr>
            <w:tcW w:w="119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r>
      <w:tr w:rsidR="00795A46" w:rsidTr="00795A46">
        <w:trPr>
          <w:trHeight w:val="514"/>
        </w:trPr>
        <w:tc>
          <w:tcPr>
            <w:tcW w:w="6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121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22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2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32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98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2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c>
          <w:tcPr>
            <w:tcW w:w="119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r>
      <w:tr w:rsidR="00795A46" w:rsidTr="00795A46">
        <w:trPr>
          <w:trHeight w:val="356"/>
        </w:trPr>
        <w:tc>
          <w:tcPr>
            <w:tcW w:w="6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121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22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2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32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98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2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24</w:t>
            </w:r>
          </w:p>
        </w:tc>
        <w:tc>
          <w:tcPr>
            <w:tcW w:w="119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22</w:t>
            </w:r>
          </w:p>
        </w:tc>
      </w:tr>
      <w:tr w:rsidR="00795A46" w:rsidTr="00795A46">
        <w:trPr>
          <w:trHeight w:val="350"/>
        </w:trPr>
        <w:tc>
          <w:tcPr>
            <w:tcW w:w="6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121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22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2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32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98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2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24</w:t>
            </w:r>
          </w:p>
        </w:tc>
        <w:tc>
          <w:tcPr>
            <w:tcW w:w="119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22</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Forrás: TeIR, KSH Tstar</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noProof/>
          <w:lang w:eastAsia="hu-HU"/>
        </w:rPr>
        <w:drawing>
          <wp:inline distT="0" distB="0" distL="0" distR="0" wp14:anchorId="54743547" wp14:editId="092CC322">
            <wp:extent cx="4314825" cy="4238625"/>
            <wp:effectExtent l="0" t="0" r="9525" b="9525"/>
            <wp:docPr id="33" name="Diagram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numPr>
          <w:ilvl w:val="0"/>
          <w:numId w:val="17"/>
        </w:numPr>
        <w:autoSpaceDE w:val="0"/>
        <w:spacing w:after="20"/>
        <w:rPr>
          <w:rFonts w:ascii="Times New Roman" w:hAnsi="Times New Roman"/>
        </w:rPr>
      </w:pPr>
      <w:r>
        <w:rPr>
          <w:rFonts w:ascii="Times New Roman" w:hAnsi="Times New Roman"/>
          <w:b/>
          <w:bCs/>
          <w:sz w:val="24"/>
        </w:rPr>
        <w:t>gyermekvédelem</w:t>
      </w:r>
    </w:p>
    <w:p w:rsidR="00795A46" w:rsidRDefault="00795A46" w:rsidP="00795A46">
      <w:pPr>
        <w:autoSpaceDE w:val="0"/>
        <w:spacing w:after="20"/>
        <w:rPr>
          <w:rFonts w:ascii="Times New Roman" w:hAnsi="Times New Roman"/>
        </w:rPr>
      </w:pPr>
    </w:p>
    <w:p w:rsidR="00795A46" w:rsidRDefault="00795A46" w:rsidP="00795A46">
      <w:pPr>
        <w:autoSpaceDE w:val="0"/>
        <w:autoSpaceDN w:val="0"/>
        <w:adjustRightInd w:val="0"/>
        <w:ind w:firstLine="355"/>
        <w:rPr>
          <w:rFonts w:ascii="Times New Roman" w:hAnsi="Times New Roman"/>
          <w:sz w:val="24"/>
        </w:rPr>
      </w:pPr>
      <w:r>
        <w:rPr>
          <w:rFonts w:ascii="Times New Roman" w:hAnsi="Times New Roman"/>
          <w:sz w:val="24"/>
        </w:rPr>
        <w:t xml:space="preserve">A gyermekvédelem egy sokoldalú feladat, amelyet a településen a gyermekvédelmi jelzőrendszer tagjai külön-külön, az általuk ismert korosztályokban és együtt, a jelzőrendszeri munka során látnak el. A gyermekvédelmi jelzőrendszer tagjai közül a legtöbbnek a tevékenységét a Helyi Esélyegyenlőségi Programban más fejezeteiben bemutatjuk, az általános iskola gyermekvédelmi tevékenységére pedig itt térünk ki. </w:t>
      </w:r>
    </w:p>
    <w:p w:rsidR="00795A46" w:rsidRDefault="00795A46" w:rsidP="00795A46">
      <w:pPr>
        <w:autoSpaceDE w:val="0"/>
        <w:autoSpaceDN w:val="0"/>
        <w:adjustRightInd w:val="0"/>
        <w:ind w:firstLine="355"/>
        <w:rPr>
          <w:rFonts w:ascii="Times New Roman" w:hAnsi="Times New Roman"/>
          <w:color w:val="000000" w:themeColor="text1"/>
          <w:sz w:val="24"/>
        </w:rPr>
      </w:pPr>
    </w:p>
    <w:p w:rsidR="00795A46" w:rsidRDefault="00795A46" w:rsidP="00795A46">
      <w:pPr>
        <w:autoSpaceDE w:val="0"/>
        <w:autoSpaceDN w:val="0"/>
        <w:adjustRightInd w:val="0"/>
        <w:ind w:firstLine="355"/>
        <w:rPr>
          <w:rFonts w:ascii="Times New Roman" w:hAnsi="Times New Roman"/>
          <w:sz w:val="24"/>
        </w:rPr>
      </w:pPr>
      <w:r>
        <w:rPr>
          <w:rFonts w:ascii="Times New Roman" w:hAnsi="Times New Roman"/>
          <w:sz w:val="24"/>
        </w:rPr>
        <w:t>A Csorváson működő általános iskolát a Klebelsberg Intézményfenntartó Békéscsabai Tankerülete tartja fenn. Tanulóinak száma 240-260 fő, akik két intézményegységben tanulnak. Az iskolai gyermekvédelmi munkát a gyermekvédelmi koordinátor, az osztályf</w:t>
      </w:r>
      <w:r>
        <w:rPr>
          <w:rFonts w:ascii="Times New Roman" w:eastAsia="TimesNewRoman" w:hAnsi="Times New Roman"/>
          <w:sz w:val="24"/>
        </w:rPr>
        <w:t>ő</w:t>
      </w:r>
      <w:r>
        <w:rPr>
          <w:rFonts w:ascii="Times New Roman" w:hAnsi="Times New Roman"/>
          <w:sz w:val="24"/>
        </w:rPr>
        <w:t>nökök és az intézményvezet</w:t>
      </w:r>
      <w:r>
        <w:rPr>
          <w:rFonts w:ascii="Times New Roman" w:eastAsia="TimesNewRoman" w:hAnsi="Times New Roman"/>
          <w:sz w:val="24"/>
        </w:rPr>
        <w:t xml:space="preserve">ő együttesen </w:t>
      </w:r>
      <w:r>
        <w:rPr>
          <w:rFonts w:ascii="Times New Roman" w:hAnsi="Times New Roman"/>
          <w:sz w:val="24"/>
        </w:rPr>
        <w:t>végzik az évenként összeállított munkaterv szerint.</w:t>
      </w:r>
      <w:r>
        <w:rPr>
          <w:rFonts w:ascii="Times New Roman" w:hAnsi="Times New Roman"/>
          <w:color w:val="FF0000"/>
          <w:sz w:val="24"/>
        </w:rPr>
        <w:t xml:space="preserve"> </w:t>
      </w:r>
      <w:r>
        <w:rPr>
          <w:rFonts w:ascii="Times New Roman" w:hAnsi="Times New Roman"/>
          <w:sz w:val="24"/>
        </w:rPr>
        <w:t>A terv tartalmazza mindazokat a pedagógiai, pszichológiai, szociális és jogi feladatokat, melyek a hátrányos és veszélyeztetett helyzetben él</w:t>
      </w:r>
      <w:r>
        <w:rPr>
          <w:rFonts w:ascii="Times New Roman" w:eastAsia="TimesNewRoman" w:hAnsi="Times New Roman"/>
          <w:sz w:val="24"/>
        </w:rPr>
        <w:t xml:space="preserve">ő </w:t>
      </w:r>
      <w:r>
        <w:rPr>
          <w:rFonts w:ascii="Times New Roman" w:hAnsi="Times New Roman"/>
          <w:sz w:val="24"/>
        </w:rPr>
        <w:t>gyermekek nevelését, erkölcsi, anyagi érdekvédelmét biztosítják.</w:t>
      </w:r>
    </w:p>
    <w:p w:rsidR="00795A46" w:rsidRDefault="00795A46" w:rsidP="00795A46">
      <w:pPr>
        <w:autoSpaceDE w:val="0"/>
        <w:autoSpaceDN w:val="0"/>
        <w:adjustRightInd w:val="0"/>
        <w:rPr>
          <w:rFonts w:ascii="Times New Roman" w:hAnsi="Times New Roman"/>
          <w:sz w:val="24"/>
        </w:rPr>
      </w:pPr>
      <w:r>
        <w:rPr>
          <w:rFonts w:ascii="Times New Roman" w:hAnsi="Times New Roman"/>
          <w:sz w:val="24"/>
        </w:rPr>
        <w:t>A hátrányok leküzdésében sokat segít a napközi, az iskolaotthon, a tanulószoba, az egyéni foglalkozások, a logopédiai foglalkozások és az intézmény épületében elérhető gyermekétkeztetés. Legfontosabb elvük a megel</w:t>
      </w:r>
      <w:r>
        <w:rPr>
          <w:rFonts w:ascii="Times New Roman" w:eastAsia="TimesNewRoman" w:hAnsi="Times New Roman"/>
          <w:sz w:val="24"/>
        </w:rPr>
        <w:t>ő</w:t>
      </w:r>
      <w:r>
        <w:rPr>
          <w:rFonts w:ascii="Times New Roman" w:hAnsi="Times New Roman"/>
          <w:sz w:val="24"/>
        </w:rPr>
        <w:t>zés. Ennek érdekében olyan gyermekvédelmi feladatokat végeznek, melyek segítségével igyekeznek megóvni a gyermekeket a veszélyt</w:t>
      </w:r>
      <w:r>
        <w:rPr>
          <w:rFonts w:ascii="Times New Roman" w:eastAsia="TimesNewRoman" w:hAnsi="Times New Roman"/>
          <w:sz w:val="24"/>
        </w:rPr>
        <w:t>ő</w:t>
      </w:r>
      <w:r>
        <w:rPr>
          <w:rFonts w:ascii="Times New Roman" w:hAnsi="Times New Roman"/>
          <w:sz w:val="24"/>
        </w:rPr>
        <w:t xml:space="preserve">l, felkészíteni </w:t>
      </w:r>
      <w:r>
        <w:rPr>
          <w:rFonts w:ascii="Times New Roman" w:eastAsia="TimesNewRoman" w:hAnsi="Times New Roman"/>
          <w:sz w:val="24"/>
        </w:rPr>
        <w:t>ő</w:t>
      </w:r>
      <w:r>
        <w:rPr>
          <w:rFonts w:ascii="Times New Roman" w:hAnsi="Times New Roman"/>
          <w:sz w:val="24"/>
        </w:rPr>
        <w:t>ket az életben való helytállásra.</w:t>
      </w:r>
      <w:r>
        <w:rPr>
          <w:rFonts w:ascii="Times New Roman" w:hAnsi="Times New Roman"/>
          <w:color w:val="FF0000"/>
          <w:sz w:val="24"/>
        </w:rPr>
        <w:t xml:space="preserve"> </w:t>
      </w:r>
      <w:r>
        <w:rPr>
          <w:rFonts w:ascii="Times New Roman" w:hAnsi="Times New Roman"/>
          <w:sz w:val="24"/>
        </w:rPr>
        <w:t>A társadalmi leszakadás megakadályozása és kirekesztés csökkentése érdekében igyekeznek biztosítani a halmozottan hátrányos helyzet</w:t>
      </w:r>
      <w:r>
        <w:rPr>
          <w:rFonts w:ascii="Times New Roman" w:eastAsia="TimesNewRoman" w:hAnsi="Times New Roman"/>
          <w:sz w:val="24"/>
        </w:rPr>
        <w:t xml:space="preserve">ű </w:t>
      </w:r>
      <w:r>
        <w:rPr>
          <w:rFonts w:ascii="Times New Roman" w:hAnsi="Times New Roman"/>
          <w:sz w:val="24"/>
        </w:rPr>
        <w:t>gyermekek esélyegyenl</w:t>
      </w:r>
      <w:r>
        <w:rPr>
          <w:rFonts w:ascii="Times New Roman" w:eastAsia="TimesNewRoman" w:hAnsi="Times New Roman"/>
          <w:sz w:val="24"/>
        </w:rPr>
        <w:t>ő</w:t>
      </w:r>
      <w:r>
        <w:rPr>
          <w:rFonts w:ascii="Times New Roman" w:hAnsi="Times New Roman"/>
          <w:sz w:val="24"/>
        </w:rPr>
        <w:t>ségét. Azt tapasztalják, hogy a szülők munkanélkülisége miatt sok család a napi megélhetés gondjaival küzd. Így egyre kevesebb figyelmet tudnak gyermekeikre fordítani. A szociális nehézségek miatt emelkedik a viselkedési-, magatartási- és tanulási zavarral küzd</w:t>
      </w:r>
      <w:r>
        <w:rPr>
          <w:rFonts w:ascii="Times New Roman" w:eastAsia="TimesNewRoman" w:hAnsi="Times New Roman"/>
          <w:sz w:val="24"/>
        </w:rPr>
        <w:t xml:space="preserve">ő </w:t>
      </w:r>
      <w:r>
        <w:rPr>
          <w:rFonts w:ascii="Times New Roman" w:hAnsi="Times New Roman"/>
          <w:sz w:val="24"/>
        </w:rPr>
        <w:t>gyermek száma. Nagy szükségük lenne szexuális felvilágosításra, családtervezési és életvezetési tanácsadásra. A szül</w:t>
      </w:r>
      <w:r>
        <w:rPr>
          <w:rFonts w:ascii="Times New Roman" w:eastAsia="TimesNewRoman" w:hAnsi="Times New Roman"/>
          <w:sz w:val="24"/>
        </w:rPr>
        <w:t>ő</w:t>
      </w:r>
      <w:r>
        <w:rPr>
          <w:rFonts w:ascii="Times New Roman" w:hAnsi="Times New Roman"/>
          <w:sz w:val="24"/>
        </w:rPr>
        <w:t>k értékrendje, elvárása az iskolával szemben azonban igen széles skálán mozog.</w:t>
      </w:r>
    </w:p>
    <w:p w:rsidR="00795A46" w:rsidRDefault="00795A46" w:rsidP="00795A46">
      <w:pPr>
        <w:autoSpaceDE w:val="0"/>
        <w:autoSpaceDN w:val="0"/>
        <w:adjustRightInd w:val="0"/>
        <w:rPr>
          <w:rFonts w:ascii="Times New Roman" w:hAnsi="Times New Roman"/>
          <w:sz w:val="24"/>
        </w:rPr>
      </w:pPr>
      <w:r>
        <w:rPr>
          <w:rFonts w:ascii="Times New Roman" w:hAnsi="Times New Roman"/>
          <w:sz w:val="24"/>
        </w:rPr>
        <w:t>A diákok dönt</w:t>
      </w:r>
      <w:r>
        <w:rPr>
          <w:rFonts w:ascii="Times New Roman" w:eastAsia="TimesNewRoman" w:hAnsi="Times New Roman"/>
          <w:sz w:val="24"/>
        </w:rPr>
        <w:t xml:space="preserve">ő </w:t>
      </w:r>
      <w:r>
        <w:rPr>
          <w:rFonts w:ascii="Times New Roman" w:hAnsi="Times New Roman"/>
          <w:sz w:val="24"/>
        </w:rPr>
        <w:t>többsége értéknek tekinti a tudást, a hatékony ismeretanyag- elsajátítás bels</w:t>
      </w:r>
      <w:r>
        <w:rPr>
          <w:rFonts w:ascii="Times New Roman" w:eastAsia="TimesNewRoman" w:hAnsi="Times New Roman"/>
          <w:sz w:val="24"/>
        </w:rPr>
        <w:t xml:space="preserve">ő </w:t>
      </w:r>
      <w:r>
        <w:rPr>
          <w:rFonts w:ascii="Times New Roman" w:hAnsi="Times New Roman"/>
          <w:sz w:val="24"/>
        </w:rPr>
        <w:t>igényükké vált. Szívesen kapcsolódnak be a szakköri és tehetséggondozó foglalkozásokba, eredményesen vesznek részt a különböz</w:t>
      </w:r>
      <w:r>
        <w:rPr>
          <w:rFonts w:ascii="Times New Roman" w:eastAsia="TimesNewRoman" w:hAnsi="Times New Roman"/>
          <w:sz w:val="24"/>
        </w:rPr>
        <w:t xml:space="preserve">ő </w:t>
      </w:r>
      <w:r>
        <w:rPr>
          <w:rFonts w:ascii="Times New Roman" w:hAnsi="Times New Roman"/>
          <w:sz w:val="24"/>
        </w:rPr>
        <w:t>versenyeken, pályázatokon. A végz</w:t>
      </w:r>
      <w:r>
        <w:rPr>
          <w:rFonts w:ascii="Times New Roman" w:eastAsia="TimesNewRoman" w:hAnsi="Times New Roman"/>
          <w:sz w:val="24"/>
        </w:rPr>
        <w:t>ő</w:t>
      </w:r>
      <w:r>
        <w:rPr>
          <w:rFonts w:ascii="Times New Roman" w:hAnsi="Times New Roman"/>
          <w:sz w:val="24"/>
        </w:rPr>
        <w:t>s tanulók mindegyike továbbtanul, többségük valamelyik közeli középiskolában. Az iskola körzetében él</w:t>
      </w:r>
      <w:r>
        <w:rPr>
          <w:rFonts w:ascii="Times New Roman" w:eastAsia="TimesNewRoman" w:hAnsi="Times New Roman"/>
          <w:sz w:val="24"/>
        </w:rPr>
        <w:t xml:space="preserve">ő </w:t>
      </w:r>
      <w:r>
        <w:rPr>
          <w:rFonts w:ascii="Times New Roman" w:hAnsi="Times New Roman"/>
          <w:sz w:val="24"/>
        </w:rPr>
        <w:t>családok szociális, anyagi és kulturális helyzete rendkívül változatos képet mutat, ezért a nevel</w:t>
      </w:r>
      <w:r>
        <w:rPr>
          <w:rFonts w:ascii="Times New Roman" w:eastAsia="TimesNewRoman" w:hAnsi="Times New Roman"/>
          <w:sz w:val="24"/>
        </w:rPr>
        <w:t>ő</w:t>
      </w:r>
      <w:r>
        <w:rPr>
          <w:rFonts w:ascii="Times New Roman" w:hAnsi="Times New Roman"/>
          <w:sz w:val="24"/>
        </w:rPr>
        <w:t>-oktató munka ehhez a helyzethez igazodik: tanóra alatt és tanórán kívül is megpróbáljuk segíteni a nehéz körülmények között él</w:t>
      </w:r>
      <w:r>
        <w:rPr>
          <w:rFonts w:ascii="Times New Roman" w:eastAsia="TimesNewRoman" w:hAnsi="Times New Roman"/>
          <w:sz w:val="24"/>
        </w:rPr>
        <w:t>ő</w:t>
      </w:r>
      <w:r>
        <w:rPr>
          <w:rFonts w:ascii="Times New Roman" w:hAnsi="Times New Roman"/>
          <w:sz w:val="24"/>
        </w:rPr>
        <w:t>, hátránnyal induló tanulók felzárkóztatását, ugyanakkor fontosnak tartják a tehetséges, jó képesség</w:t>
      </w:r>
      <w:r>
        <w:rPr>
          <w:rFonts w:ascii="Times New Roman" w:eastAsia="TimesNewRoman" w:hAnsi="Times New Roman"/>
          <w:sz w:val="24"/>
        </w:rPr>
        <w:t xml:space="preserve">ű </w:t>
      </w:r>
      <w:r>
        <w:rPr>
          <w:rFonts w:ascii="Times New Roman" w:hAnsi="Times New Roman"/>
          <w:sz w:val="24"/>
        </w:rPr>
        <w:t>gyermekek fejlesztését is.</w:t>
      </w:r>
    </w:p>
    <w:p w:rsidR="00795A46" w:rsidRDefault="00795A46" w:rsidP="00795A46">
      <w:pPr>
        <w:autoSpaceDE w:val="0"/>
        <w:autoSpaceDN w:val="0"/>
        <w:adjustRightInd w:val="0"/>
        <w:rPr>
          <w:rFonts w:ascii="Times New Roman" w:hAnsi="Times New Roman"/>
          <w:i/>
          <w:iCs/>
          <w:sz w:val="24"/>
        </w:rPr>
      </w:pPr>
    </w:p>
    <w:p w:rsidR="00795A46" w:rsidRDefault="00795A46" w:rsidP="00795A46">
      <w:pPr>
        <w:autoSpaceDE w:val="0"/>
        <w:autoSpaceDN w:val="0"/>
        <w:adjustRightInd w:val="0"/>
        <w:rPr>
          <w:rFonts w:ascii="Times New Roman" w:hAnsi="Times New Roman"/>
          <w:sz w:val="24"/>
        </w:rPr>
      </w:pPr>
      <w:r>
        <w:rPr>
          <w:rFonts w:ascii="Times New Roman" w:hAnsi="Times New Roman"/>
          <w:sz w:val="24"/>
        </w:rPr>
        <w:t>A gyermek- és ifjúságvédelemmel kapcsolatos tennivalóink</w:t>
      </w:r>
    </w:p>
    <w:p w:rsidR="00795A46" w:rsidRDefault="00795A46" w:rsidP="00795A46">
      <w:pPr>
        <w:autoSpaceDE w:val="0"/>
        <w:autoSpaceDN w:val="0"/>
        <w:adjustRightInd w:val="0"/>
        <w:rPr>
          <w:rFonts w:ascii="Times New Roman" w:hAnsi="Times New Roman"/>
          <w:sz w:val="24"/>
        </w:rPr>
      </w:pPr>
    </w:p>
    <w:p w:rsidR="00795A46" w:rsidRDefault="00795A46" w:rsidP="00795A46">
      <w:pPr>
        <w:autoSpaceDE w:val="0"/>
        <w:autoSpaceDN w:val="0"/>
        <w:adjustRightInd w:val="0"/>
        <w:rPr>
          <w:rFonts w:ascii="Times New Roman" w:hAnsi="Times New Roman"/>
          <w:sz w:val="24"/>
        </w:rPr>
      </w:pPr>
      <w:r>
        <w:rPr>
          <w:rFonts w:ascii="Times New Roman" w:hAnsi="Times New Roman"/>
          <w:sz w:val="24"/>
        </w:rPr>
        <w:t>A gyermeki jogok védelme minden olyan természetes és jogi személy kötelessége, aki gyermekek nevelésével, oktatásával, ellátásával, ügyeinek intézésével foglalkozik. A gyermekek védelmének rendszerében az iskola mellett fontos feladatot látnak el az egészségügyi és szociális intézmények (háziorvosi, véd</w:t>
      </w:r>
      <w:r>
        <w:rPr>
          <w:rFonts w:ascii="Times New Roman" w:eastAsia="TimesNewRoman" w:hAnsi="Times New Roman"/>
          <w:sz w:val="24"/>
        </w:rPr>
        <w:t>ő</w:t>
      </w:r>
      <w:r>
        <w:rPr>
          <w:rFonts w:ascii="Times New Roman" w:hAnsi="Times New Roman"/>
          <w:sz w:val="24"/>
        </w:rPr>
        <w:t>n</w:t>
      </w:r>
      <w:r>
        <w:rPr>
          <w:rFonts w:ascii="Times New Roman" w:eastAsia="TimesNewRoman" w:hAnsi="Times New Roman"/>
          <w:sz w:val="24"/>
        </w:rPr>
        <w:t>ő</w:t>
      </w:r>
      <w:r>
        <w:rPr>
          <w:rFonts w:ascii="Times New Roman" w:hAnsi="Times New Roman"/>
          <w:sz w:val="24"/>
        </w:rPr>
        <w:t>i, családsegít</w:t>
      </w:r>
      <w:r>
        <w:rPr>
          <w:rFonts w:ascii="Times New Roman" w:eastAsia="TimesNewRoman" w:hAnsi="Times New Roman"/>
          <w:sz w:val="24"/>
        </w:rPr>
        <w:t xml:space="preserve">ő </w:t>
      </w:r>
      <w:r>
        <w:rPr>
          <w:rFonts w:ascii="Times New Roman" w:hAnsi="Times New Roman"/>
          <w:sz w:val="24"/>
        </w:rPr>
        <w:t>szolgálat), valamint a rend</w:t>
      </w:r>
      <w:r>
        <w:rPr>
          <w:rFonts w:ascii="Times New Roman" w:eastAsia="TimesNewRoman" w:hAnsi="Times New Roman"/>
          <w:sz w:val="24"/>
        </w:rPr>
        <w:t>ő</w:t>
      </w:r>
      <w:r>
        <w:rPr>
          <w:rFonts w:ascii="Times New Roman" w:hAnsi="Times New Roman"/>
          <w:sz w:val="24"/>
        </w:rPr>
        <w:t>rség és az ügyészség. A gyermekvédelmi jelzőrendszer tagjaként az iskola által biztosított segítségnyújtási formák a családdal való folyamatos kapcsolattartás, a gyermekkel való többszöri beszélgetés négyszemközt, az értékek közvetítése, egy szakértő segítségének igénybevétele, sikerélmények nyújtása, kapcsolattartás a védőnőkkel, a családsegítő központtal, korrepetálás, versenyeztetés, szakkörre járatás, sportolási lehetőség biztosítása, előítéletek leküzdetése a társakkal, tisztálkodásra nevelés, a helyes táplálkozásra nevelés, ruhaneművel, tanszerekkel való segítés, közös élmények biztosítása.</w:t>
      </w:r>
    </w:p>
    <w:p w:rsidR="00795A46" w:rsidRDefault="00795A46" w:rsidP="00795A46">
      <w:pPr>
        <w:autoSpaceDE w:val="0"/>
        <w:autoSpaceDN w:val="0"/>
        <w:adjustRightInd w:val="0"/>
        <w:rPr>
          <w:rFonts w:ascii="Times New Roman" w:hAnsi="Times New Roman"/>
          <w:color w:val="000000" w:themeColor="text1"/>
          <w:sz w:val="24"/>
        </w:rPr>
      </w:pP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 xml:space="preserve">A Békés Megyei Kormányhivatal 2017-ben kidolgozta a Békés Megyei Gyermekvédelmi Partnerségi Protokollt, amely azzal a céllal készült el, hogy valamennyi jelzőrendszeri tag számára teljes képet nyújtson a jelzőrendszeri tagok feladatának, szerepének, jogszabályi környezetének rendszerszintű áttekintésével. A Protokoll egyben egy olyan eljárásrend lefektetésére is hivatott, amely a gyermeket érintő, azonnali intézkedést igénylő súlyos veszélyeztetés felmerülése esetén segíti a gyámhatóság feladatellátását, illetve meghatározza és összehangolja a gyámhatóság és a jelzőrendszer együttműködésének pontjait. </w:t>
      </w:r>
    </w:p>
    <w:p w:rsidR="00795A46" w:rsidRDefault="00795A46" w:rsidP="00795A46">
      <w:pPr>
        <w:suppressAutoHyphens w:val="0"/>
        <w:autoSpaceDE w:val="0"/>
        <w:autoSpaceDN w:val="0"/>
        <w:adjustRightInd w:val="0"/>
        <w:rPr>
          <w:rFonts w:ascii="Times New Roman" w:hAnsi="Times New Roman"/>
          <w:b/>
          <w:bCs/>
          <w:sz w:val="24"/>
          <w:lang w:eastAsia="hu-HU"/>
        </w:rPr>
      </w:pPr>
      <w:r>
        <w:rPr>
          <w:rFonts w:ascii="Times New Roman" w:hAnsi="Times New Roman"/>
          <w:sz w:val="24"/>
          <w:lang w:eastAsia="hu-HU"/>
        </w:rPr>
        <w:t>A gyermekvédelem tekintetében kiépített jelzőrendszer kapcsán kiemelkedő szerepet és koordinációs feladatot látnak el a család-és gyermekjóléti szolgálatok, ahol a szakemberek a beérkezett jelzéseket értékelve mérlegelik a további lépéseket, gyámhatósági intézkedésnek akkor van helye, ha a veszélyeztetettség mértéke eléri a hatósági intézkedés indokoltságának mértékét. A jelzőrendszer tagjai kötelesek egymással együttműködni, és egymást kölcsönösen tájékoztatni a gyermek családban történő nevelkedésének elősegítése, a veszélyeztetettség megelőzése érdekében.</w:t>
      </w:r>
      <w:r>
        <w:rPr>
          <w:rFonts w:ascii="Times New Roman" w:hAnsi="Times New Roman"/>
          <w:b/>
          <w:bCs/>
          <w:sz w:val="24"/>
          <w:lang w:eastAsia="hu-HU"/>
        </w:rPr>
        <w:t xml:space="preserve"> </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 xml:space="preserve">A jelzőrendszeri tagok között jelentős feladat hárul az egészségügyi szolgáltatást nyújtókra, különösen a védőnői szolgálatra is. Csorváson jól működik a jelzőrendszer, a Védőnői Szolgálat dolgozói évente 4-5 alkalommal jelzőrendszeri tanácskozáson vesznek részt. </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 xml:space="preserve">A jelzőrendszer tagjai különösen a védőnők, gyermekorvosok, köznevelési intézmények, rendőrség, ügyészség, bíróság, pártfogó felügyelői szolgálat, társadalmi szervezetek, egyházak, alapítványok. </w:t>
      </w:r>
    </w:p>
    <w:p w:rsidR="00795A46" w:rsidRDefault="00795A46" w:rsidP="00795A46">
      <w:pPr>
        <w:pStyle w:val="Tblacm"/>
        <w:keepNext w:val="0"/>
        <w:rPr>
          <w:rFonts w:ascii="Times New Roman" w:hAnsi="Times New Roman"/>
          <w:color w:val="000000" w:themeColor="text1"/>
          <w:sz w:val="24"/>
          <w:szCs w:val="24"/>
          <w:shd w:val="clear" w:color="auto" w:fill="00FF00"/>
        </w:rPr>
      </w:pPr>
      <w:bookmarkStart w:id="89" w:name="__RefHeading__171_1906745769"/>
      <w:bookmarkEnd w:id="89"/>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themeColor="text1"/>
          <w:szCs w:val="22"/>
        </w:rPr>
      </w:pPr>
    </w:p>
    <w:p w:rsidR="00795A46" w:rsidRDefault="00795A46" w:rsidP="00795A46">
      <w:pPr>
        <w:numPr>
          <w:ilvl w:val="0"/>
          <w:numId w:val="17"/>
        </w:numPr>
        <w:autoSpaceDE w:val="0"/>
        <w:spacing w:after="20"/>
        <w:rPr>
          <w:rFonts w:ascii="Times New Roman" w:hAnsi="Times New Roman"/>
          <w:b/>
          <w:bCs/>
          <w:sz w:val="24"/>
        </w:rPr>
      </w:pPr>
      <w:bookmarkStart w:id="90" w:name="__RefHeading__153_1906745769"/>
      <w:bookmarkEnd w:id="90"/>
      <w:r>
        <w:rPr>
          <w:rFonts w:ascii="Times New Roman" w:hAnsi="Times New Roman"/>
          <w:b/>
          <w:bCs/>
          <w:sz w:val="24"/>
        </w:rPr>
        <w:t>krízishelyzetben igénybe vehető szolgáltatások</w:t>
      </w:r>
    </w:p>
    <w:p w:rsidR="00795A46" w:rsidRDefault="00795A46" w:rsidP="00795A46">
      <w:pPr>
        <w:pStyle w:val="NormlCalibri11"/>
        <w:pBdr>
          <w:top w:val="none" w:sz="0" w:space="0" w:color="auto"/>
          <w:left w:val="none" w:sz="0" w:space="0" w:color="auto"/>
          <w:bottom w:val="none" w:sz="0" w:space="0" w:color="auto"/>
          <w:right w:val="none" w:sz="0" w:space="0" w:color="auto"/>
        </w:pBdr>
        <w:ind w:left="-5"/>
        <w:rPr>
          <w:rFonts w:ascii="Times New Roman" w:hAnsi="Times New Roman"/>
          <w:szCs w:val="22"/>
        </w:rPr>
      </w:pPr>
    </w:p>
    <w:p w:rsidR="00795A46" w:rsidRDefault="00795A46" w:rsidP="00795A46">
      <w:pPr>
        <w:suppressAutoHyphens w:val="0"/>
        <w:ind w:firstLine="355"/>
        <w:rPr>
          <w:rFonts w:ascii="Times New Roman" w:hAnsi="Times New Roman"/>
          <w:sz w:val="24"/>
          <w:lang w:eastAsia="hu-HU"/>
        </w:rPr>
      </w:pPr>
      <w:r>
        <w:rPr>
          <w:rFonts w:ascii="Times New Roman" w:hAnsi="Times New Roman"/>
          <w:sz w:val="24"/>
          <w:lang w:eastAsia="hu-HU"/>
        </w:rPr>
        <w:t>A krízishelyzetben igénybe vehető szolgáltatások településünkön korlátozottak.</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 xml:space="preserve">A gyermeket nevelő családoknál a kialakult krízis helyzetet – ami főként anyagi helyzet miatt van – igyekszik a város közösen megoldani támogatásokkal, gyermekjóléti alapellátás biztosításával, jelzőrendszer tagjainak munkájával. Az óvodában és az általános iskolában továbbra sincs az intézménybe járókat ellátó pszichológus, ám a Családsegítő Szolgálat utazó pszichológusa az intézmény épületében az ellátásra szorulók rendelkezésére áll.  </w:t>
      </w:r>
    </w:p>
    <w:p w:rsidR="00795A46" w:rsidRDefault="00795A46" w:rsidP="00795A46">
      <w:pPr>
        <w:pStyle w:val="Tblacm"/>
        <w:rPr>
          <w:rFonts w:ascii="Times New Roman" w:hAnsi="Times New Roman"/>
          <w:sz w:val="24"/>
          <w:szCs w:val="24"/>
          <w:shd w:val="clear" w:color="auto" w:fill="00FF00"/>
        </w:rPr>
      </w:pPr>
    </w:p>
    <w:p w:rsidR="00795A46" w:rsidRDefault="00795A46" w:rsidP="00795A46">
      <w:pPr>
        <w:pStyle w:val="Tblacm"/>
        <w:rPr>
          <w:rFonts w:ascii="Times New Roman" w:hAnsi="Times New Roman"/>
          <w:sz w:val="24"/>
          <w:szCs w:val="24"/>
          <w:shd w:val="clear" w:color="auto" w:fill="00FF00"/>
        </w:rPr>
      </w:pPr>
    </w:p>
    <w:p w:rsidR="00795A46" w:rsidRDefault="00795A46" w:rsidP="00795A46">
      <w:pPr>
        <w:numPr>
          <w:ilvl w:val="0"/>
          <w:numId w:val="17"/>
        </w:numPr>
        <w:autoSpaceDE w:val="0"/>
        <w:spacing w:after="20"/>
        <w:rPr>
          <w:rFonts w:ascii="Times New Roman" w:hAnsi="Times New Roman"/>
          <w:b/>
          <w:bCs/>
          <w:sz w:val="24"/>
        </w:rPr>
      </w:pPr>
      <w:r>
        <w:rPr>
          <w:rFonts w:ascii="Times New Roman" w:hAnsi="Times New Roman"/>
          <w:b/>
          <w:bCs/>
          <w:sz w:val="24"/>
        </w:rPr>
        <w:t>egészségfejlesztési, sport-, szabadidős és szünidős programokhoz való hozzáférés</w:t>
      </w:r>
    </w:p>
    <w:p w:rsidR="00795A46" w:rsidRDefault="00795A46" w:rsidP="00795A46">
      <w:pPr>
        <w:pStyle w:val="Tblacm"/>
        <w:rPr>
          <w:rFonts w:ascii="Times New Roman" w:hAnsi="Times New Roman"/>
          <w:bCs w:val="0"/>
          <w:sz w:val="24"/>
          <w:szCs w:val="24"/>
          <w:shd w:val="clear" w:color="auto" w:fill="00FF00"/>
        </w:rPr>
      </w:pPr>
    </w:p>
    <w:p w:rsidR="00795A46" w:rsidRDefault="00795A46" w:rsidP="00795A46">
      <w:pPr>
        <w:pStyle w:val="Tblacm"/>
        <w:rPr>
          <w:rFonts w:ascii="Times New Roman" w:hAnsi="Times New Roman"/>
          <w:sz w:val="24"/>
          <w:szCs w:val="24"/>
          <w:shd w:val="clear" w:color="auto" w:fill="00FF00"/>
        </w:rPr>
      </w:pPr>
    </w:p>
    <w:p w:rsidR="00795A46" w:rsidRDefault="00795A46" w:rsidP="00795A46">
      <w:pPr>
        <w:autoSpaceDE w:val="0"/>
        <w:spacing w:after="20"/>
        <w:ind w:firstLine="355"/>
        <w:rPr>
          <w:rFonts w:ascii="Times New Roman" w:hAnsi="Times New Roman"/>
          <w:sz w:val="24"/>
        </w:rPr>
      </w:pPr>
      <w:r>
        <w:rPr>
          <w:rFonts w:ascii="Times New Roman" w:hAnsi="Times New Roman"/>
          <w:sz w:val="24"/>
        </w:rPr>
        <w:t xml:space="preserve">Egészségfejlesztési, sport-, szabadidős programokhoz a hátrányos helyzetű gyermekek ugyanúgy hozzáférnek, mint a többi kiskorú, ebben a tekintetben sem teszünk különbséget közöttük. Külön számukra ilyen programot nem hirdetünk, mert az ilyen megkülönböztetés káros lenne. A családsegítő szolgálatnál azonban elérhetők olyan programok, amelyeket kifejezetten a szolgálat látókörében lévő gyermekek számára hirdetnek meg, közösségépítő jelleggel. A települési önkormányzat pedig – akire ez személyi és anyagi erőforrás hiányában jelentős terhet ró - nyári gyermekfelügyeletet szervez, ahová a nyári iskolai szünidő alatt is folyamatosan dolgozó szülők gyermekei érkeznek. </w:t>
      </w:r>
    </w:p>
    <w:p w:rsidR="00795A46" w:rsidRDefault="00795A46" w:rsidP="00795A46">
      <w:pPr>
        <w:pStyle w:val="Tblacm"/>
        <w:rPr>
          <w:rFonts w:ascii="Times New Roman" w:hAnsi="Times New Roman"/>
          <w:sz w:val="24"/>
          <w:szCs w:val="24"/>
          <w:shd w:val="clear" w:color="auto" w:fill="00FF00"/>
        </w:rPr>
      </w:pPr>
    </w:p>
    <w:p w:rsidR="00795A46" w:rsidRDefault="00795A46" w:rsidP="00795A46">
      <w:pPr>
        <w:pStyle w:val="Tblacm"/>
        <w:rPr>
          <w:rFonts w:ascii="Times New Roman" w:hAnsi="Times New Roman"/>
          <w:sz w:val="24"/>
          <w:szCs w:val="24"/>
          <w:shd w:val="clear" w:color="auto" w:fill="00FF00"/>
        </w:rPr>
      </w:pPr>
    </w:p>
    <w:p w:rsidR="00795A46" w:rsidRDefault="00795A46" w:rsidP="00795A46">
      <w:pPr>
        <w:numPr>
          <w:ilvl w:val="0"/>
          <w:numId w:val="17"/>
        </w:numPr>
        <w:autoSpaceDE w:val="0"/>
        <w:spacing w:after="20"/>
        <w:rPr>
          <w:rFonts w:ascii="Times New Roman" w:hAnsi="Times New Roman"/>
          <w:b/>
          <w:bCs/>
          <w:sz w:val="24"/>
        </w:rPr>
      </w:pPr>
      <w:r>
        <w:rPr>
          <w:rFonts w:ascii="Times New Roman" w:hAnsi="Times New Roman"/>
          <w:b/>
          <w:bCs/>
          <w:sz w:val="24"/>
        </w:rPr>
        <w:t>gyermekétkeztetés (intézményi, hétvégi, szünidei)</w:t>
      </w:r>
    </w:p>
    <w:p w:rsidR="00795A46" w:rsidRDefault="00795A46" w:rsidP="00795A46">
      <w:pPr>
        <w:pStyle w:val="NormlCalibri11"/>
        <w:pBdr>
          <w:top w:val="none" w:sz="0" w:space="0" w:color="auto"/>
          <w:left w:val="none" w:sz="0" w:space="0" w:color="auto"/>
          <w:bottom w:val="none" w:sz="0" w:space="0" w:color="auto"/>
          <w:right w:val="none" w:sz="0" w:space="0" w:color="auto"/>
        </w:pBdr>
        <w:ind w:left="-5"/>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ind w:left="-5"/>
        <w:rPr>
          <w:rFonts w:ascii="Times New Roman" w:hAnsi="Times New Roman"/>
        </w:rPr>
      </w:pPr>
    </w:p>
    <w:p w:rsidR="00795A46" w:rsidRDefault="00795A46" w:rsidP="00795A46">
      <w:pPr>
        <w:ind w:firstLine="355"/>
        <w:rPr>
          <w:rFonts w:ascii="Times New Roman" w:hAnsi="Times New Roman"/>
          <w:color w:val="000000"/>
          <w:sz w:val="24"/>
        </w:rPr>
      </w:pPr>
      <w:r>
        <w:rPr>
          <w:rFonts w:ascii="Times New Roman" w:hAnsi="Times New Roman"/>
          <w:sz w:val="24"/>
        </w:rPr>
        <w:t xml:space="preserve">Az általános iskola épületében </w:t>
      </w:r>
      <w:r>
        <w:rPr>
          <w:rFonts w:ascii="Times New Roman" w:hAnsi="Times New Roman"/>
          <w:color w:val="000000"/>
          <w:sz w:val="24"/>
        </w:rPr>
        <w:t>működik a települési önkormányzat 100 %-os tulajdonában álló közétkeztetést biztosító vállalkozás, amely az intézményi- és a szünidei étkeztetést, az idősek otthonának étkeztetési feladatait és a településen élők szociális étkeztetését is biztosítja</w:t>
      </w:r>
      <w:r>
        <w:rPr>
          <w:rFonts w:ascii="Times New Roman" w:hAnsi="Times New Roman"/>
          <w:sz w:val="24"/>
        </w:rPr>
        <w:t xml:space="preserve">. A szülők nyilatkoznak arról, hogy mit kívánnak igénybe venni: a menzát vagy a napközis gyermekek számára nyújtott tízórait, ebédet és az uzsonnát. </w:t>
      </w:r>
      <w:r>
        <w:rPr>
          <w:rFonts w:ascii="Times New Roman" w:hAnsi="Times New Roman"/>
          <w:color w:val="000000"/>
          <w:sz w:val="24"/>
        </w:rPr>
        <w:t xml:space="preserve">Azok a gyermekek, akik jogosultak rendszeres gyermekvédelmi kedvezményre, igénybe vehetik az ingyenes intézményi étkeztetést, de egyéb jogcímeken is biztosított a gyermekek bizonyos – jogszabályban rögzített - köre számára az 50 %-os mértékű, kedvezményes intézményi gyermekétkeztetés. Az iskolában hétvégi ellátás nincs, de a halmozottan hátrányos helyzetű gyermekeket nevelő szülők kérésére a szünidőben ingyenesen biztosítják az napi egyszeri, meleg főétkeztetést. </w:t>
      </w:r>
    </w:p>
    <w:p w:rsidR="00795A46" w:rsidRDefault="00795A46" w:rsidP="00795A46">
      <w:pPr>
        <w:rPr>
          <w:rFonts w:ascii="Times New Roman" w:hAnsi="Times New Roman"/>
          <w:color w:val="000000"/>
          <w:sz w:val="24"/>
        </w:rPr>
      </w:pPr>
    </w:p>
    <w:p w:rsidR="00795A46" w:rsidRDefault="00795A46" w:rsidP="00795A46">
      <w:pPr>
        <w:rPr>
          <w:rFonts w:ascii="Times New Roman" w:hAnsi="Times New Roman"/>
          <w:color w:val="000000"/>
          <w:sz w:val="24"/>
        </w:rPr>
      </w:pPr>
    </w:p>
    <w:p w:rsidR="00795A46" w:rsidRDefault="00795A46" w:rsidP="00795A46">
      <w:pPr>
        <w:rPr>
          <w:rFonts w:ascii="Times New Roman" w:hAnsi="Times New Roman"/>
          <w:color w:val="000000"/>
          <w:sz w:val="24"/>
        </w:rPr>
      </w:pPr>
    </w:p>
    <w:p w:rsidR="00795A46" w:rsidRDefault="00795A46" w:rsidP="00795A46">
      <w:pPr>
        <w:numPr>
          <w:ilvl w:val="0"/>
          <w:numId w:val="17"/>
        </w:numPr>
        <w:autoSpaceDE w:val="0"/>
        <w:spacing w:after="20"/>
        <w:rPr>
          <w:rFonts w:ascii="Times New Roman" w:hAnsi="Times New Roman"/>
          <w:b/>
          <w:bCs/>
          <w:sz w:val="24"/>
        </w:rPr>
      </w:pPr>
      <w:r>
        <w:rPr>
          <w:rFonts w:ascii="Times New Roman" w:hAnsi="Times New Roman"/>
          <w:b/>
          <w:bCs/>
          <w:sz w:val="24"/>
        </w:rPr>
        <w:t>eltérő kultúrájú, vagy hátrányos és nem hátrányos helyzetű gyermekcsoportok közötti programok</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E szempontrendszer alapján nem különböztethetünk meg egy gyermeket sem hátrányosan, ezért kifejezetten ilyen témában létrejött programokat sem tartunk nyilván. A gyermekeknek szóló programok a településen nyilvánosak.</w:t>
      </w:r>
    </w:p>
    <w:p w:rsidR="00795A46" w:rsidRDefault="00795A46" w:rsidP="00795A46">
      <w:pPr>
        <w:rPr>
          <w:rFonts w:ascii="Times New Roman" w:hAnsi="Times New Roman"/>
          <w:sz w:val="24"/>
        </w:rPr>
      </w:pPr>
    </w:p>
    <w:p w:rsidR="00795A46" w:rsidRDefault="00795A46" w:rsidP="00795A46">
      <w:pPr>
        <w:numPr>
          <w:ilvl w:val="0"/>
          <w:numId w:val="17"/>
        </w:numPr>
        <w:autoSpaceDE w:val="0"/>
        <w:spacing w:after="20"/>
        <w:rPr>
          <w:rFonts w:ascii="Times New Roman" w:hAnsi="Times New Roman"/>
          <w:b/>
          <w:bCs/>
          <w:sz w:val="24"/>
        </w:rPr>
      </w:pPr>
      <w:r>
        <w:rPr>
          <w:rFonts w:ascii="Times New Roman" w:hAnsi="Times New Roman"/>
          <w:b/>
          <w:bCs/>
          <w:sz w:val="24"/>
        </w:rPr>
        <w:t xml:space="preserve">hátrányos megkülönböztetés, az egyenlő bánásmód követelményének megsértése a szolgáltatások nyújtásakor </w:t>
      </w:r>
    </w:p>
    <w:p w:rsidR="00795A46" w:rsidRDefault="00795A46" w:rsidP="00795A46">
      <w:pPr>
        <w:pStyle w:val="NormlCalibri11"/>
        <w:pBdr>
          <w:top w:val="none" w:sz="0" w:space="0" w:color="auto"/>
          <w:left w:val="none" w:sz="0" w:space="0" w:color="auto"/>
          <w:bottom w:val="none" w:sz="0" w:space="0" w:color="auto"/>
          <w:right w:val="none" w:sz="0" w:space="0" w:color="auto"/>
        </w:pBdr>
        <w:ind w:left="-5"/>
        <w:rPr>
          <w:rFonts w:ascii="Times New Roman" w:hAnsi="Times New Roman"/>
          <w:szCs w:val="22"/>
        </w:rPr>
      </w:pPr>
    </w:p>
    <w:p w:rsidR="00795A46" w:rsidRDefault="00795A46" w:rsidP="00795A46">
      <w:pPr>
        <w:autoSpaceDE w:val="0"/>
        <w:spacing w:after="20"/>
        <w:ind w:firstLine="142"/>
        <w:rPr>
          <w:rFonts w:ascii="Times New Roman" w:hAnsi="Times New Roman"/>
          <w:sz w:val="24"/>
        </w:rPr>
      </w:pPr>
      <w:r>
        <w:rPr>
          <w:rFonts w:ascii="Times New Roman" w:hAnsi="Times New Roman"/>
          <w:sz w:val="24"/>
        </w:rPr>
        <w:t>Nincs tudomásunk szolgáltatások nyújtásakor a településen megvalósuló hátrányos megkülönböztetésről.</w:t>
      </w:r>
    </w:p>
    <w:p w:rsidR="00795A46" w:rsidRDefault="00795A46" w:rsidP="00795A46">
      <w:pPr>
        <w:autoSpaceDE w:val="0"/>
        <w:spacing w:after="20"/>
        <w:ind w:firstLine="142"/>
        <w:rPr>
          <w:rFonts w:ascii="Times New Roman" w:hAnsi="Times New Roman"/>
          <w:sz w:val="24"/>
        </w:rPr>
      </w:pPr>
    </w:p>
    <w:p w:rsidR="00795A46" w:rsidRDefault="00795A46" w:rsidP="00795A46">
      <w:pPr>
        <w:autoSpaceDE w:val="0"/>
        <w:spacing w:after="20"/>
        <w:rPr>
          <w:rFonts w:ascii="Times New Roman" w:hAnsi="Times New Roman"/>
          <w:sz w:val="24"/>
        </w:rPr>
      </w:pPr>
    </w:p>
    <w:p w:rsidR="00795A46" w:rsidRDefault="00795A46" w:rsidP="00795A46">
      <w:pPr>
        <w:numPr>
          <w:ilvl w:val="0"/>
          <w:numId w:val="17"/>
        </w:numPr>
        <w:autoSpaceDE w:val="0"/>
        <w:spacing w:after="20"/>
        <w:rPr>
          <w:rFonts w:ascii="Times New Roman" w:hAnsi="Times New Roman"/>
          <w:b/>
          <w:bCs/>
          <w:sz w:val="24"/>
        </w:rPr>
      </w:pPr>
      <w:r>
        <w:rPr>
          <w:rFonts w:ascii="Times New Roman" w:hAnsi="Times New Roman"/>
          <w:b/>
          <w:bCs/>
          <w:sz w:val="24"/>
        </w:rPr>
        <w:t>előnyben részesítés, hátránykompenzáló juttatások, szolgáltatások az ellátórendszerek</w:t>
      </w:r>
      <w:r>
        <w:rPr>
          <w:rFonts w:ascii="Times New Roman" w:hAnsi="Times New Roman"/>
          <w:sz w:val="24"/>
        </w:rPr>
        <w:t xml:space="preserve"> </w:t>
      </w:r>
      <w:r>
        <w:rPr>
          <w:rFonts w:ascii="Times New Roman" w:hAnsi="Times New Roman"/>
          <w:b/>
          <w:bCs/>
          <w:sz w:val="24"/>
        </w:rPr>
        <w:t>keretein belül</w:t>
      </w:r>
    </w:p>
    <w:p w:rsidR="00795A46" w:rsidRDefault="00795A46" w:rsidP="00795A46">
      <w:pPr>
        <w:pStyle w:val="NormlCalibri11"/>
        <w:pBdr>
          <w:top w:val="none" w:sz="0" w:space="0" w:color="auto"/>
          <w:left w:val="none" w:sz="0" w:space="0" w:color="auto"/>
          <w:bottom w:val="none" w:sz="0" w:space="0" w:color="auto"/>
          <w:right w:val="none" w:sz="0" w:space="0" w:color="auto"/>
        </w:pBdr>
        <w:ind w:left="-5"/>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ind w:left="-5"/>
        <w:rPr>
          <w:rFonts w:ascii="Times New Roman" w:hAnsi="Times New Roman"/>
        </w:rPr>
      </w:pPr>
    </w:p>
    <w:p w:rsidR="00795A46" w:rsidRDefault="00795A46" w:rsidP="00795A46">
      <w:pPr>
        <w:ind w:firstLine="355"/>
        <w:rPr>
          <w:rFonts w:ascii="Times New Roman" w:hAnsi="Times New Roman"/>
          <w:sz w:val="24"/>
        </w:rPr>
      </w:pPr>
      <w:r>
        <w:rPr>
          <w:rFonts w:ascii="Times New Roman" w:hAnsi="Times New Roman"/>
          <w:sz w:val="24"/>
        </w:rPr>
        <w:t xml:space="preserve">A leginkább rászoruló, halmozottan hátrányos helyzetű általános- és középiskolás korú gyermekek részére ingyenesen biztosítjuk a nyári szünidő munkanapjain az egyszeri meleg főétkezést. </w:t>
      </w:r>
    </w:p>
    <w:p w:rsidR="00795A46" w:rsidRDefault="00795A46" w:rsidP="00795A46">
      <w:pPr>
        <w:rPr>
          <w:rFonts w:ascii="Times New Roman" w:hAnsi="Times New Roman"/>
          <w:sz w:val="24"/>
        </w:rPr>
      </w:pPr>
      <w:r>
        <w:rPr>
          <w:rFonts w:ascii="Times New Roman" w:hAnsi="Times New Roman"/>
          <w:sz w:val="24"/>
        </w:rPr>
        <w:t xml:space="preserve">A Gyermekjóléti Szolgálat a hátrányos helyzetű vagy veszélyeztetett gyermekekre fókuszálva külön szolgáltatásokat nyújt, többek között kistérségi kereteken belül nyári üdültetést szervez, illetve az Erzsébet-táborok lebonyolításában segítséget nyújt az önkormányzatnak és a Művelődési Háznak. </w:t>
      </w:r>
    </w:p>
    <w:p w:rsidR="00795A46" w:rsidRDefault="00795A46" w:rsidP="00795A46">
      <w:pP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sz w:val="24"/>
        </w:rPr>
        <w:t>4.4 A kiemelt figyelmet igénylő gyermekek/tanulók, valamint fogyatékossággal élő gyerekek közoktatási lehetőségei és esélyegyenlősége</w:t>
      </w:r>
    </w:p>
    <w:p w:rsidR="00795A46" w:rsidRDefault="00795A46" w:rsidP="00795A46">
      <w:pPr>
        <w:rPr>
          <w:rFonts w:ascii="Times New Roman" w:hAnsi="Times New Roman"/>
          <w:sz w:val="24"/>
          <w:shd w:val="clear" w:color="auto" w:fill="FF0000"/>
        </w:rPr>
      </w:pPr>
    </w:p>
    <w:p w:rsidR="00795A46" w:rsidRDefault="00795A46" w:rsidP="00795A46">
      <w:pPr>
        <w:rPr>
          <w:rFonts w:ascii="Times New Roman" w:hAnsi="Times New Roman"/>
          <w:sz w:val="24"/>
          <w:shd w:val="clear" w:color="auto" w:fill="FF0000"/>
        </w:rPr>
      </w:pPr>
    </w:p>
    <w:p w:rsidR="00795A46" w:rsidRDefault="00795A46" w:rsidP="00795A46">
      <w:pPr>
        <w:numPr>
          <w:ilvl w:val="0"/>
          <w:numId w:val="19"/>
        </w:numPr>
        <w:autoSpaceDE w:val="0"/>
        <w:spacing w:after="20"/>
        <w:rPr>
          <w:rFonts w:ascii="Times New Roman" w:hAnsi="Times New Roman"/>
          <w:b/>
          <w:bCs/>
          <w:sz w:val="24"/>
        </w:rPr>
      </w:pPr>
      <w:r>
        <w:rPr>
          <w:rFonts w:ascii="Times New Roman" w:hAnsi="Times New Roman"/>
          <w:b/>
          <w:bCs/>
          <w:sz w:val="24"/>
        </w:rPr>
        <w:t>a hátrányos, illetve halmozottan hátrányos helyzetű, valamint sajátos nevelési igényű és beilleszkedési, tanulási, magatartási nehézséggel küzdő gyermekek/tanulók óvodai, iskolai ellátása, a köznevelési intézménybe és más településen található fejlesztő programokra való eljutás módja, lehetőségei</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ind w:firstLine="426"/>
        <w:rPr>
          <w:rFonts w:ascii="Times New Roman" w:hAnsi="Times New Roman"/>
          <w:sz w:val="24"/>
        </w:rPr>
      </w:pPr>
      <w:r>
        <w:rPr>
          <w:rFonts w:ascii="Times New Roman" w:hAnsi="Times New Roman"/>
          <w:sz w:val="24"/>
        </w:rPr>
        <w:t>A hátrányos, illetve halmozottan hátrányos helyzetű</w:t>
      </w:r>
      <w:r>
        <w:rPr>
          <w:rFonts w:ascii="Times New Roman" w:hAnsi="Times New Roman"/>
          <w:i/>
          <w:iCs/>
          <w:sz w:val="24"/>
        </w:rPr>
        <w:t xml:space="preserve"> </w:t>
      </w:r>
      <w:r>
        <w:rPr>
          <w:rFonts w:ascii="Times New Roman" w:hAnsi="Times New Roman"/>
          <w:sz w:val="24"/>
        </w:rPr>
        <w:t>gyermekek érdekében integrált oktatást és integrált pedagógiai programot vezettek be a helyi általános iskolában. Ehhez a gyakorló pedagógusoknak rendelkezniük kell a személyközpontú nevelés és differenciálás megvalósításához szükséges kompetenciákkal. Olyan nevelési és tanulásszervezési módszereket alkalmaznak, amelyek figyelembe veszik a tanulók eltérő hátterét, alkalmasak a legkülönbözőbb helyzetű tanulók együttnevelésére, a differenciálásra és a személyre szabott értékelési rendszer használatára. Ezt egy számítógépes program is segíti, melyet 2013-tól alkalmaznak. Ennek megfelelően az alábbi, a hátrányos helyzetű tanulók együttnevelésében alapvető munkákat végzik:</w:t>
      </w:r>
    </w:p>
    <w:p w:rsidR="00795A46" w:rsidRDefault="00795A46" w:rsidP="00795A46">
      <w:pPr>
        <w:suppressAutoHyphens w:val="0"/>
        <w:rPr>
          <w:rFonts w:ascii="Times New Roman" w:hAnsi="Times New Roman"/>
          <w:sz w:val="24"/>
        </w:rPr>
      </w:pPr>
      <w:r>
        <w:rPr>
          <w:rFonts w:ascii="Times New Roman" w:hAnsi="Times New Roman"/>
          <w:i/>
          <w:iCs/>
          <w:sz w:val="24"/>
        </w:rPr>
        <w:t xml:space="preserve">- </w:t>
      </w:r>
      <w:r>
        <w:rPr>
          <w:rFonts w:ascii="Times New Roman" w:hAnsi="Times New Roman"/>
          <w:sz w:val="24"/>
        </w:rPr>
        <w:t>Tanórai differenciálás heterogén csoportban: ez teret ad - a sikeres integráció egyik feltételeként - az egyéni fejlődési különbségek szerinti haladásnak, a szükségleteknek megfelelő fejlesztés módszereinek alkalmazásával.</w:t>
      </w:r>
    </w:p>
    <w:p w:rsidR="00795A46" w:rsidRDefault="00795A46" w:rsidP="00795A46">
      <w:pPr>
        <w:suppressAutoHyphens w:val="0"/>
        <w:rPr>
          <w:rFonts w:ascii="Times New Roman" w:hAnsi="Times New Roman"/>
          <w:sz w:val="24"/>
        </w:rPr>
      </w:pPr>
      <w:r>
        <w:rPr>
          <w:rFonts w:ascii="Times New Roman" w:hAnsi="Times New Roman"/>
          <w:sz w:val="24"/>
        </w:rPr>
        <w:t xml:space="preserve">- Kooperatív tanulás: a kooperatív tanulás alapelvei az együttnevelés szempontjából lehetőséget adnak a legfontosabb kompetenciák fejlesztésére. </w:t>
      </w:r>
    </w:p>
    <w:p w:rsidR="00795A46" w:rsidRDefault="00795A46" w:rsidP="00795A46">
      <w:pPr>
        <w:suppressAutoHyphens w:val="0"/>
        <w:rPr>
          <w:rFonts w:ascii="Times New Roman" w:hAnsi="Times New Roman"/>
          <w:sz w:val="24"/>
          <w:lang w:eastAsia="hu-HU"/>
        </w:rPr>
      </w:pPr>
      <w:r>
        <w:rPr>
          <w:rFonts w:ascii="Times New Roman" w:hAnsi="Times New Roman"/>
          <w:color w:val="FF0000"/>
          <w:sz w:val="24"/>
        </w:rPr>
        <w:t xml:space="preserve">- </w:t>
      </w:r>
      <w:r>
        <w:rPr>
          <w:rFonts w:ascii="Times New Roman" w:hAnsi="Times New Roman"/>
          <w:sz w:val="24"/>
        </w:rPr>
        <w:t>Tevékenységközpontú pedagógia: az óvoda nevelési programja szerint</w:t>
      </w:r>
      <w:r>
        <w:rPr>
          <w:rFonts w:ascii="Times New Roman" w:hAnsi="Times New Roman"/>
          <w:b/>
          <w:bCs/>
          <w:sz w:val="24"/>
          <w:lang w:eastAsia="hu-HU"/>
        </w:rPr>
        <w:t xml:space="preserve"> </w:t>
      </w:r>
      <w:r>
        <w:rPr>
          <w:rFonts w:ascii="Times New Roman" w:hAnsi="Times New Roman"/>
          <w:sz w:val="24"/>
          <w:lang w:eastAsia="hu-HU"/>
        </w:rPr>
        <w:t>az intézmény erőssége, hogy a helyi hagyományokra épít,</w:t>
      </w:r>
      <w:r>
        <w:rPr>
          <w:rFonts w:ascii="Times New Roman" w:hAnsi="Times New Roman"/>
          <w:sz w:val="24"/>
        </w:rPr>
        <w:t xml:space="preserve"> az intézmény nevelési elvei </w:t>
      </w:r>
      <w:r>
        <w:rPr>
          <w:rFonts w:ascii="Times New Roman" w:hAnsi="Times New Roman"/>
          <w:sz w:val="24"/>
          <w:lang w:eastAsia="hu-HU"/>
        </w:rPr>
        <w:t>tevékenységközpontúak (előtérbe helyezve a környezeti nevelést), biztosítja a differenciálást, a személyre szóló, közvetlen és egyéni bánásmódot a kisgyermekekkel, a bátorító-kötődő nevelést. Az intézmény igyekszik felkészíteni a gyermekeket az iskolai életre. Nyitottként jellemzi önmagát, aki a szülőkkel közös programokat szervez, jók a kapcsolatai a családdal, iskolával, Pedagógiai Szakszolgálattal, közművelődési, egészségügyi és szociális intézményekkel, helyi civil szervezetekkel. Rendelkezik azokkal a feltételekkel, melyek lehetővé teszik a gyermeki képességek fejlesztését, a szülők igényeinek kielégítését, a gyermeki öröm biztosítását. Az intézmény tanulóit a színház, a könyvtár, a mozi, kirándulások és egyéb rendezvényeken élményeiben részesíti a szülők bevonásával.</w:t>
      </w:r>
    </w:p>
    <w:p w:rsidR="00795A46" w:rsidRDefault="00795A46" w:rsidP="00795A46">
      <w:pPr>
        <w:suppressAutoHyphens w:val="0"/>
        <w:rPr>
          <w:rFonts w:ascii="Times New Roman" w:hAnsi="Times New Roman"/>
          <w:sz w:val="24"/>
        </w:rPr>
      </w:pPr>
      <w:r>
        <w:rPr>
          <w:rFonts w:ascii="Times New Roman" w:hAnsi="Times New Roman"/>
          <w:sz w:val="24"/>
        </w:rPr>
        <w:t xml:space="preserve">Az iskola pedagógiai céljai között szerepel, hogy minél többféle tevékenységet végezhessek a gyermekek. Lehetőséget teremt arra, hogy kipróbálhassák magukat különböző sportágakban, logikai képességeiket sakk és logikai játék csoportokban, kézügyességüket pedig a kreatív foglakozásokon, szakkörökben. Művészi képességeiket kibontakoztathatják a településen működő Békéscsabai Bartók Béla Művészeti Szakgimnázium és Alapfokú Művészeti Iskola grafika és festészeti, képzőművészeti valamint az alábbi zeneművészeti: akkordikus, billentyűs, fafúvós, kamarazene, pengetős, rézfúvós, ütős, vokális, vonós és zeneismereti tanszakokon. </w:t>
      </w:r>
    </w:p>
    <w:p w:rsidR="00795A46" w:rsidRDefault="00795A46" w:rsidP="00795A46">
      <w:pPr>
        <w:suppressAutoHyphens w:val="0"/>
        <w:rPr>
          <w:rFonts w:ascii="Times New Roman" w:hAnsi="Times New Roman"/>
          <w:sz w:val="24"/>
        </w:rPr>
      </w:pPr>
      <w:r>
        <w:rPr>
          <w:rFonts w:ascii="Times New Roman" w:hAnsi="Times New Roman"/>
          <w:sz w:val="24"/>
        </w:rPr>
        <w:t xml:space="preserve">A hatékony tanuló-megismerési technikák és patronáló rendszerek célja a pedagógiai kompetencia erősítése a tanuló-megismerési módszerek kreatív alkalmazásával, pedagógiai megfigyeléssel, dokumentumelemzéssel, interjútechnikák és kérdőíves eljárások alkalmazásával. Ezáltal lehetővé válik, hogy a pedagógusok mélyebben, és egyúttal előítélettől mentesen ismerjék meg a gyermekek viselkedését meghatározó tényezőket, valamint a tanulókra ható közvetlen környezeti jellemzőket. </w:t>
      </w:r>
    </w:p>
    <w:p w:rsidR="00795A46" w:rsidRDefault="00795A46" w:rsidP="00795A46">
      <w:pPr>
        <w:suppressAutoHyphens w:val="0"/>
        <w:rPr>
          <w:rFonts w:ascii="Times New Roman" w:hAnsi="Times New Roman"/>
          <w:sz w:val="24"/>
        </w:rPr>
      </w:pPr>
      <w:r>
        <w:rPr>
          <w:rFonts w:ascii="Times New Roman" w:hAnsi="Times New Roman"/>
          <w:sz w:val="24"/>
        </w:rPr>
        <w:t>A projektpedagógia célja a kulcskompetenciák és személyiségjellemzők fejlesztése, valamint a projektmunkáknak heterogén csoportban történő megszervezése és lebonyolítása érdekében. Évente több évfolyamon, többféle projekt keretében kerül erre sor.</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highlight w:val="green"/>
        </w:rPr>
        <w:t>4.4. a) 1.számú táblázat - Hátrányos és halmozottan hátrányos helyzetű óvodás gyermekek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tbl>
      <w:tblPr>
        <w:tblW w:w="9180" w:type="dxa"/>
        <w:tblInd w:w="2" w:type="dxa"/>
        <w:tblCellMar>
          <w:left w:w="70" w:type="dxa"/>
          <w:right w:w="70" w:type="dxa"/>
        </w:tblCellMar>
        <w:tblLook w:val="00A0" w:firstRow="1" w:lastRow="0" w:firstColumn="1" w:lastColumn="0" w:noHBand="0" w:noVBand="0"/>
      </w:tblPr>
      <w:tblGrid>
        <w:gridCol w:w="1580"/>
        <w:gridCol w:w="1960"/>
        <w:gridCol w:w="2560"/>
        <w:gridCol w:w="3080"/>
      </w:tblGrid>
      <w:tr w:rsidR="00795A46" w:rsidTr="00795A46">
        <w:trPr>
          <w:trHeight w:val="1877"/>
        </w:trPr>
        <w:tc>
          <w:tcPr>
            <w:tcW w:w="1580" w:type="dxa"/>
            <w:vMerge w:val="restart"/>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jc w:val="center"/>
              <w:rPr>
                <w:rFonts w:cs="Calibri"/>
                <w:b/>
                <w:bCs/>
                <w:lang w:eastAsia="hu-HU"/>
              </w:rPr>
            </w:pPr>
            <w:r>
              <w:rPr>
                <w:b/>
                <w:bCs/>
                <w:lang w:eastAsia="hu-HU"/>
              </w:rPr>
              <w:t>Év</w:t>
            </w:r>
          </w:p>
        </w:tc>
        <w:tc>
          <w:tcPr>
            <w:tcW w:w="196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Óvodába beírt gyermekek száma (gyógypedagógiai neveléssel együtt)</w:t>
            </w:r>
            <w:r>
              <w:rPr>
                <w:b/>
                <w:bCs/>
                <w:lang w:eastAsia="hu-HU"/>
              </w:rPr>
              <w:br/>
            </w:r>
            <w:r>
              <w:rPr>
                <w:lang w:eastAsia="hu-HU"/>
              </w:rPr>
              <w:t>(TS 087)</w:t>
            </w:r>
          </w:p>
        </w:tc>
        <w:tc>
          <w:tcPr>
            <w:tcW w:w="256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 xml:space="preserve">Hátrányos és halmozottan hátrányos helyzetű </w:t>
            </w:r>
            <w:r>
              <w:rPr>
                <w:b/>
                <w:bCs/>
                <w:color w:val="000000"/>
                <w:lang w:eastAsia="hu-HU"/>
              </w:rPr>
              <w:br/>
              <w:t xml:space="preserve">óvodás gyermekek száma (gyógypedagógiai neveléssel együtt) </w:t>
            </w:r>
            <w:r>
              <w:rPr>
                <w:color w:val="000000"/>
                <w:lang w:eastAsia="hu-HU"/>
              </w:rPr>
              <w:t>(TS 092)</w:t>
            </w:r>
          </w:p>
        </w:tc>
        <w:tc>
          <w:tcPr>
            <w:tcW w:w="308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 xml:space="preserve">Hátrányos és halmozottan hátrányos helyzetű óvodás gyermekek </w:t>
            </w:r>
            <w:r>
              <w:rPr>
                <w:b/>
                <w:bCs/>
                <w:color w:val="000000"/>
                <w:lang w:eastAsia="hu-HU"/>
              </w:rPr>
              <w:br/>
              <w:t xml:space="preserve">aránya az óvodás gyermekeken belül </w:t>
            </w:r>
            <w:r>
              <w:rPr>
                <w:color w:val="000000"/>
                <w:lang w:eastAsia="hu-HU"/>
              </w:rPr>
              <w:t>(TS 093)</w:t>
            </w:r>
          </w:p>
        </w:tc>
      </w:tr>
      <w:tr w:rsidR="00795A46" w:rsidTr="00795A46">
        <w:trPr>
          <w:trHeight w:val="3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196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256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308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w:t>
            </w:r>
          </w:p>
        </w:tc>
      </w:tr>
      <w:tr w:rsidR="00795A46" w:rsidTr="00795A46">
        <w:trPr>
          <w:trHeight w:val="300"/>
        </w:trPr>
        <w:tc>
          <w:tcPr>
            <w:tcW w:w="15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19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110</w:t>
            </w:r>
          </w:p>
        </w:tc>
        <w:tc>
          <w:tcPr>
            <w:tcW w:w="2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w:t>
            </w:r>
          </w:p>
        </w:tc>
        <w:tc>
          <w:tcPr>
            <w:tcW w:w="3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10,00%</w:t>
            </w:r>
          </w:p>
        </w:tc>
      </w:tr>
      <w:tr w:rsidR="00795A46" w:rsidTr="00795A46">
        <w:trPr>
          <w:trHeight w:val="397"/>
        </w:trPr>
        <w:tc>
          <w:tcPr>
            <w:tcW w:w="15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19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125</w:t>
            </w:r>
          </w:p>
        </w:tc>
        <w:tc>
          <w:tcPr>
            <w:tcW w:w="2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14</w:t>
            </w:r>
          </w:p>
        </w:tc>
        <w:tc>
          <w:tcPr>
            <w:tcW w:w="3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11,20%</w:t>
            </w:r>
          </w:p>
        </w:tc>
      </w:tr>
      <w:tr w:rsidR="00795A46" w:rsidTr="00795A46">
        <w:trPr>
          <w:trHeight w:val="352"/>
        </w:trPr>
        <w:tc>
          <w:tcPr>
            <w:tcW w:w="15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19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139</w:t>
            </w:r>
          </w:p>
        </w:tc>
        <w:tc>
          <w:tcPr>
            <w:tcW w:w="2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16</w:t>
            </w:r>
          </w:p>
        </w:tc>
        <w:tc>
          <w:tcPr>
            <w:tcW w:w="3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11,51%</w:t>
            </w:r>
          </w:p>
        </w:tc>
      </w:tr>
      <w:tr w:rsidR="00795A46" w:rsidTr="00795A46">
        <w:trPr>
          <w:trHeight w:val="359"/>
        </w:trPr>
        <w:tc>
          <w:tcPr>
            <w:tcW w:w="15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19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138</w:t>
            </w:r>
          </w:p>
        </w:tc>
        <w:tc>
          <w:tcPr>
            <w:tcW w:w="2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17</w:t>
            </w:r>
          </w:p>
        </w:tc>
        <w:tc>
          <w:tcPr>
            <w:tcW w:w="3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12,32%</w:t>
            </w:r>
          </w:p>
        </w:tc>
      </w:tr>
      <w:tr w:rsidR="00795A46" w:rsidTr="00795A46">
        <w:trPr>
          <w:trHeight w:val="359"/>
        </w:trPr>
        <w:tc>
          <w:tcPr>
            <w:tcW w:w="15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19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138</w:t>
            </w:r>
          </w:p>
        </w:tc>
        <w:tc>
          <w:tcPr>
            <w:tcW w:w="2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w:t>
            </w:r>
          </w:p>
        </w:tc>
        <w:tc>
          <w:tcPr>
            <w:tcW w:w="3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2,17%</w:t>
            </w:r>
          </w:p>
        </w:tc>
      </w:tr>
      <w:tr w:rsidR="00795A46" w:rsidTr="00795A46">
        <w:trPr>
          <w:trHeight w:val="355"/>
        </w:trPr>
        <w:tc>
          <w:tcPr>
            <w:tcW w:w="15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19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2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3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Forrás: TeIR, KSH Tstar</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noProof/>
          <w:lang w:eastAsia="hu-HU"/>
        </w:rPr>
        <w:drawing>
          <wp:inline distT="0" distB="0" distL="0" distR="0" wp14:anchorId="154696C4" wp14:editId="5012A582">
            <wp:extent cx="5800725" cy="3267075"/>
            <wp:effectExtent l="0" t="0" r="9525" b="9525"/>
            <wp:docPr id="32" name="Diagram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color w:val="000000"/>
          <w:sz w:val="24"/>
        </w:rPr>
      </w:pPr>
      <w:r>
        <w:rPr>
          <w:rFonts w:ascii="Times New Roman" w:hAnsi="Times New Roman"/>
          <w:color w:val="000000"/>
          <w:sz w:val="24"/>
        </w:rPr>
        <w:t xml:space="preserve">Csorvás Város Önkormányzata egy 150 férőhelyes, két feladatellátási helyen működő óvodaintézményt tart fenn. A fenti táblázatban látható, hogy szinte mind a hat óvodai csoportja nagy létszámmal működik. Az intézményben nevelt gyermekek közül hátrányos és halmozottan hátrányos helyzetűnek bizonyult a négy, adattal felöltött év átlag 135 fős beírt gyermeklétszámából átlag 12,5 gyermek, ez azt jelenti, hogy az óvodában gondozott gyermekek 9,3 %-a </w:t>
      </w:r>
      <w:r>
        <w:rPr>
          <w:rFonts w:ascii="Times New Roman" w:hAnsi="Times New Roman"/>
        </w:rPr>
        <w:t>hátrányos és halmozottan hátrányos helyzetű.</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highlight w:val="gree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highlight w:val="green"/>
        </w:rPr>
        <w:t>4.4. a) 2.számú táblázat - Hátrányos és halmozottan hátrányos helyzetű általános iskolai tanulók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tbl>
      <w:tblPr>
        <w:tblW w:w="9180" w:type="dxa"/>
        <w:tblInd w:w="2" w:type="dxa"/>
        <w:tblCellMar>
          <w:left w:w="70" w:type="dxa"/>
          <w:right w:w="70" w:type="dxa"/>
        </w:tblCellMar>
        <w:tblLook w:val="00A0" w:firstRow="1" w:lastRow="0" w:firstColumn="1" w:lastColumn="0" w:noHBand="0" w:noVBand="0"/>
      </w:tblPr>
      <w:tblGrid>
        <w:gridCol w:w="1080"/>
        <w:gridCol w:w="1800"/>
        <w:gridCol w:w="3600"/>
        <w:gridCol w:w="2700"/>
      </w:tblGrid>
      <w:tr w:rsidR="00795A46" w:rsidTr="00795A46">
        <w:trPr>
          <w:trHeight w:val="1423"/>
        </w:trPr>
        <w:tc>
          <w:tcPr>
            <w:tcW w:w="1080" w:type="dxa"/>
            <w:vMerge w:val="restart"/>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jc w:val="center"/>
              <w:rPr>
                <w:rFonts w:cs="Calibri"/>
                <w:b/>
                <w:bCs/>
                <w:lang w:eastAsia="hu-HU"/>
              </w:rPr>
            </w:pPr>
            <w:r>
              <w:rPr>
                <w:b/>
                <w:bCs/>
                <w:lang w:eastAsia="hu-HU"/>
              </w:rPr>
              <w:t>Év</w:t>
            </w:r>
          </w:p>
        </w:tc>
        <w:tc>
          <w:tcPr>
            <w:tcW w:w="180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Általános iskolai tanulók száma a nappali oktatásban</w:t>
            </w:r>
          </w:p>
        </w:tc>
        <w:tc>
          <w:tcPr>
            <w:tcW w:w="360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 xml:space="preserve">Hátrányos és halmozottan hátrányos helyzetű </w:t>
            </w:r>
            <w:r>
              <w:rPr>
                <w:b/>
                <w:bCs/>
                <w:color w:val="000000"/>
                <w:lang w:eastAsia="hu-HU"/>
              </w:rPr>
              <w:br/>
              <w:t xml:space="preserve"> általános iskolai tanulók száma  (gyógypedagógiai oktatással együtt) </w:t>
            </w:r>
            <w:r>
              <w:rPr>
                <w:b/>
                <w:bCs/>
                <w:color w:val="000000"/>
                <w:lang w:eastAsia="hu-HU"/>
              </w:rPr>
              <w:br/>
            </w:r>
            <w:r>
              <w:rPr>
                <w:color w:val="000000"/>
                <w:lang w:eastAsia="hu-HU"/>
              </w:rPr>
              <w:t>(TS 094</w:t>
            </w:r>
            <w:r>
              <w:rPr>
                <w:b/>
                <w:bCs/>
                <w:color w:val="000000"/>
                <w:lang w:eastAsia="hu-HU"/>
              </w:rPr>
              <w:t>)</w:t>
            </w:r>
          </w:p>
        </w:tc>
        <w:tc>
          <w:tcPr>
            <w:tcW w:w="270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 xml:space="preserve">Hátrányos és halmozottan hátrányos helyzetű  tanulók aránya az általános iskolai tanulókon belül </w:t>
            </w:r>
            <w:r>
              <w:rPr>
                <w:color w:val="000000"/>
                <w:lang w:eastAsia="hu-HU"/>
              </w:rPr>
              <w:t>(TS 095)</w:t>
            </w:r>
          </w:p>
        </w:tc>
      </w:tr>
      <w:tr w:rsidR="00795A46" w:rsidTr="00795A46">
        <w:trPr>
          <w:trHeight w:val="3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180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360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270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w:t>
            </w:r>
          </w:p>
        </w:tc>
      </w:tr>
      <w:tr w:rsidR="00795A46" w:rsidTr="00795A46">
        <w:trPr>
          <w:trHeight w:val="300"/>
        </w:trPr>
        <w:tc>
          <w:tcPr>
            <w:tcW w:w="10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36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27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w:t>
            </w:r>
          </w:p>
        </w:tc>
      </w:tr>
      <w:tr w:rsidR="00795A46" w:rsidTr="00795A46">
        <w:trPr>
          <w:trHeight w:val="414"/>
        </w:trPr>
        <w:tc>
          <w:tcPr>
            <w:tcW w:w="10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276</w:t>
            </w:r>
          </w:p>
        </w:tc>
        <w:tc>
          <w:tcPr>
            <w:tcW w:w="36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33</w:t>
            </w:r>
          </w:p>
        </w:tc>
        <w:tc>
          <w:tcPr>
            <w:tcW w:w="27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11,96%</w:t>
            </w:r>
          </w:p>
        </w:tc>
      </w:tr>
      <w:tr w:rsidR="00795A46" w:rsidTr="00795A46">
        <w:trPr>
          <w:trHeight w:val="340"/>
        </w:trPr>
        <w:tc>
          <w:tcPr>
            <w:tcW w:w="10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256</w:t>
            </w:r>
          </w:p>
        </w:tc>
        <w:tc>
          <w:tcPr>
            <w:tcW w:w="36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32</w:t>
            </w:r>
          </w:p>
        </w:tc>
        <w:tc>
          <w:tcPr>
            <w:tcW w:w="27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12,50%</w:t>
            </w:r>
          </w:p>
        </w:tc>
      </w:tr>
      <w:tr w:rsidR="00795A46" w:rsidTr="00795A46">
        <w:trPr>
          <w:trHeight w:val="328"/>
        </w:trPr>
        <w:tc>
          <w:tcPr>
            <w:tcW w:w="10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250</w:t>
            </w:r>
          </w:p>
        </w:tc>
        <w:tc>
          <w:tcPr>
            <w:tcW w:w="36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24</w:t>
            </w:r>
          </w:p>
        </w:tc>
        <w:tc>
          <w:tcPr>
            <w:tcW w:w="27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9,60%</w:t>
            </w:r>
          </w:p>
        </w:tc>
      </w:tr>
      <w:tr w:rsidR="00795A46" w:rsidTr="00795A46">
        <w:trPr>
          <w:trHeight w:val="366"/>
        </w:trPr>
        <w:tc>
          <w:tcPr>
            <w:tcW w:w="10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256</w:t>
            </w:r>
          </w:p>
        </w:tc>
        <w:tc>
          <w:tcPr>
            <w:tcW w:w="36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9</w:t>
            </w:r>
          </w:p>
        </w:tc>
        <w:tc>
          <w:tcPr>
            <w:tcW w:w="27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3,52%</w:t>
            </w:r>
          </w:p>
        </w:tc>
      </w:tr>
      <w:tr w:rsidR="00795A46" w:rsidTr="00795A46">
        <w:trPr>
          <w:trHeight w:val="434"/>
        </w:trPr>
        <w:tc>
          <w:tcPr>
            <w:tcW w:w="10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36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27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Forrás: TeIR, KSH Tstar, Önkormányzati és intézményi adatgyűjtés</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highlight w:val="green"/>
        </w:rPr>
      </w:pPr>
      <w:r>
        <w:rPr>
          <w:noProof/>
          <w:lang w:eastAsia="hu-HU"/>
        </w:rPr>
        <w:drawing>
          <wp:inline distT="0" distB="0" distL="0" distR="0" wp14:anchorId="766450ED" wp14:editId="01819919">
            <wp:extent cx="5943600" cy="3019425"/>
            <wp:effectExtent l="0" t="0" r="0" b="9525"/>
            <wp:docPr id="31" name="Diagram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color w:val="000000"/>
          <w:sz w:val="24"/>
        </w:rPr>
      </w:pPr>
      <w:r>
        <w:rPr>
          <w:rFonts w:ascii="Times New Roman" w:hAnsi="Times New Roman"/>
          <w:color w:val="000000"/>
          <w:sz w:val="24"/>
        </w:rPr>
        <w:t>A Csorváson működő általános iskola tanulóinak korábban 10%-ot is meghaladó hányada volt hátrányos vagy halmozottan hátrányos helyzetű. Ma már ez az arány 5% alá esett, ami nemcsak a tanulólétszám csökkenésének, hanem a rendszeres gyermekvédelmi kedvezményben részesülők számának a csökkenését is mutatja, hiszen ez a hátrányos/halmozottan hátrányos helyzet megállapításának a feltétele.</w:t>
      </w:r>
    </w:p>
    <w:p w:rsidR="00795A46" w:rsidRDefault="00795A46" w:rsidP="00795A4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4"/>
          <w:highlight w:val="gree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highlight w:val="gree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highlight w:val="green"/>
        </w:rPr>
        <w:t>4.4. a) 3. számú táblázat - Hátrányos és halmozottan hátrányos helyzet a középszintű oktatásban</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8886" w:type="dxa"/>
        <w:tblInd w:w="2" w:type="dxa"/>
        <w:tblCellMar>
          <w:left w:w="70" w:type="dxa"/>
          <w:right w:w="70" w:type="dxa"/>
        </w:tblCellMar>
        <w:tblLook w:val="00A0" w:firstRow="1" w:lastRow="0" w:firstColumn="1" w:lastColumn="0" w:noHBand="0" w:noVBand="0"/>
      </w:tblPr>
      <w:tblGrid>
        <w:gridCol w:w="952"/>
        <w:gridCol w:w="1237"/>
        <w:gridCol w:w="1237"/>
        <w:gridCol w:w="1437"/>
        <w:gridCol w:w="1437"/>
        <w:gridCol w:w="1380"/>
        <w:gridCol w:w="1380"/>
      </w:tblGrid>
      <w:tr w:rsidR="00795A46" w:rsidTr="00795A46">
        <w:trPr>
          <w:trHeight w:val="3716"/>
        </w:trPr>
        <w:tc>
          <w:tcPr>
            <w:tcW w:w="1000" w:type="dxa"/>
            <w:vMerge w:val="restart"/>
            <w:tcBorders>
              <w:top w:val="single" w:sz="4" w:space="0" w:color="auto"/>
              <w:left w:val="single" w:sz="4" w:space="0" w:color="auto"/>
              <w:bottom w:val="single" w:sz="4" w:space="0" w:color="000000"/>
              <w:right w:val="single" w:sz="4" w:space="0" w:color="auto"/>
            </w:tcBorders>
            <w:shd w:val="clear" w:color="auto" w:fill="E2EFDA"/>
            <w:noWrap/>
            <w:vAlign w:val="center"/>
            <w:hideMark/>
          </w:tcPr>
          <w:p w:rsidR="00795A46" w:rsidRDefault="00795A46">
            <w:pPr>
              <w:suppressAutoHyphens w:val="0"/>
              <w:jc w:val="center"/>
              <w:rPr>
                <w:rFonts w:cs="Calibri"/>
                <w:b/>
                <w:bCs/>
                <w:szCs w:val="22"/>
                <w:lang w:eastAsia="hu-HU"/>
              </w:rPr>
            </w:pPr>
            <w:r>
              <w:rPr>
                <w:b/>
                <w:bCs/>
                <w:lang w:eastAsia="hu-HU"/>
              </w:rPr>
              <w:t>Év</w:t>
            </w:r>
          </w:p>
        </w:tc>
        <w:tc>
          <w:tcPr>
            <w:tcW w:w="1193"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 xml:space="preserve">Hátrányos és halmozottan hátrányos helyzetű gimnáziumi tanulók száma </w:t>
            </w:r>
            <w:r>
              <w:rPr>
                <w:color w:val="000000"/>
                <w:lang w:eastAsia="hu-HU"/>
              </w:rPr>
              <w:t>(TS 096)</w:t>
            </w:r>
          </w:p>
        </w:tc>
        <w:tc>
          <w:tcPr>
            <w:tcW w:w="1193"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 xml:space="preserve">Hátrányos és halmozottan hátrányos helyzetű  tanulók aránya a gimnáziumi tanulókon belül </w:t>
            </w:r>
            <w:r>
              <w:rPr>
                <w:color w:val="000000"/>
                <w:lang w:eastAsia="hu-HU"/>
              </w:rPr>
              <w:t>(TS 097)</w:t>
            </w:r>
          </w:p>
        </w:tc>
        <w:tc>
          <w:tcPr>
            <w:tcW w:w="1405"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sz w:val="20"/>
                <w:szCs w:val="20"/>
                <w:lang w:eastAsia="hu-HU"/>
              </w:rPr>
            </w:pPr>
            <w:r>
              <w:rPr>
                <w:b/>
                <w:bCs/>
                <w:color w:val="000000"/>
                <w:sz w:val="20"/>
                <w:szCs w:val="20"/>
                <w:lang w:eastAsia="hu-HU"/>
              </w:rPr>
              <w:t>Hátrányos és halmozottan hátrányos helyzetű szakközépiskolai tanulók</w:t>
            </w:r>
            <w:r>
              <w:rPr>
                <w:b/>
                <w:bCs/>
                <w:color w:val="000000"/>
                <w:sz w:val="20"/>
                <w:szCs w:val="20"/>
                <w:lang w:eastAsia="hu-HU"/>
              </w:rPr>
              <w:br/>
              <w:t xml:space="preserve">és hátrányos helyzetű szakiskolai és </w:t>
            </w:r>
            <w:r>
              <w:rPr>
                <w:b/>
                <w:bCs/>
                <w:color w:val="000000"/>
                <w:sz w:val="20"/>
                <w:szCs w:val="20"/>
                <w:lang w:eastAsia="hu-HU"/>
              </w:rPr>
              <w:br/>
              <w:t xml:space="preserve">készségfejlesztő iskolai tanulók száma a nappali oktatásban </w:t>
            </w:r>
            <w:r>
              <w:rPr>
                <w:color w:val="000000"/>
                <w:sz w:val="20"/>
                <w:szCs w:val="20"/>
                <w:lang w:eastAsia="hu-HU"/>
              </w:rPr>
              <w:t>(TS 098)</w:t>
            </w:r>
          </w:p>
        </w:tc>
        <w:tc>
          <w:tcPr>
            <w:tcW w:w="1405"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sz w:val="20"/>
                <w:szCs w:val="20"/>
                <w:lang w:eastAsia="hu-HU"/>
              </w:rPr>
            </w:pPr>
            <w:r>
              <w:rPr>
                <w:b/>
                <w:bCs/>
                <w:color w:val="000000"/>
                <w:sz w:val="20"/>
                <w:szCs w:val="20"/>
                <w:lang w:eastAsia="hu-HU"/>
              </w:rPr>
              <w:t>Hátrányos és halmozottan hátrányos helyzetű szakközépiskolai tanulók</w:t>
            </w:r>
            <w:r>
              <w:rPr>
                <w:b/>
                <w:bCs/>
                <w:color w:val="000000"/>
                <w:sz w:val="20"/>
                <w:szCs w:val="20"/>
                <w:lang w:eastAsia="hu-HU"/>
              </w:rPr>
              <w:br/>
              <w:t xml:space="preserve">és hátrányos helyzetű szakiskolai és </w:t>
            </w:r>
            <w:r>
              <w:rPr>
                <w:b/>
                <w:bCs/>
                <w:color w:val="000000"/>
                <w:sz w:val="20"/>
                <w:szCs w:val="20"/>
                <w:lang w:eastAsia="hu-HU"/>
              </w:rPr>
              <w:br/>
              <w:t>készségfejlesztő iskolai tanulók aránya a tanulók számához viszonyítva</w:t>
            </w:r>
            <w:r>
              <w:rPr>
                <w:b/>
                <w:bCs/>
                <w:color w:val="000000"/>
                <w:sz w:val="20"/>
                <w:szCs w:val="20"/>
                <w:lang w:eastAsia="hu-HU"/>
              </w:rPr>
              <w:br/>
            </w:r>
            <w:r>
              <w:rPr>
                <w:color w:val="000000"/>
                <w:sz w:val="20"/>
                <w:szCs w:val="20"/>
                <w:lang w:eastAsia="hu-HU"/>
              </w:rPr>
              <w:t>(TS 099)</w:t>
            </w:r>
          </w:p>
        </w:tc>
        <w:tc>
          <w:tcPr>
            <w:tcW w:w="1345"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sz w:val="20"/>
                <w:szCs w:val="20"/>
                <w:lang w:eastAsia="hu-HU"/>
              </w:rPr>
            </w:pPr>
            <w:r>
              <w:rPr>
                <w:b/>
                <w:bCs/>
                <w:color w:val="000000"/>
                <w:sz w:val="20"/>
                <w:szCs w:val="20"/>
                <w:lang w:eastAsia="hu-HU"/>
              </w:rPr>
              <w:t xml:space="preserve">Hátrányos és halmozottan hátrányos helyzetű szakgimnáziumi tanulók száma  </w:t>
            </w:r>
            <w:r>
              <w:rPr>
                <w:b/>
                <w:bCs/>
                <w:color w:val="000000"/>
                <w:sz w:val="20"/>
                <w:szCs w:val="20"/>
                <w:lang w:eastAsia="hu-HU"/>
              </w:rPr>
              <w:br/>
            </w:r>
            <w:r>
              <w:rPr>
                <w:color w:val="000000"/>
                <w:sz w:val="20"/>
                <w:szCs w:val="20"/>
                <w:lang w:eastAsia="hu-HU"/>
              </w:rPr>
              <w:t>(TS 100)</w:t>
            </w:r>
          </w:p>
        </w:tc>
        <w:tc>
          <w:tcPr>
            <w:tcW w:w="1345"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sz w:val="20"/>
                <w:szCs w:val="20"/>
                <w:lang w:eastAsia="hu-HU"/>
              </w:rPr>
            </w:pPr>
            <w:r>
              <w:rPr>
                <w:b/>
                <w:bCs/>
                <w:color w:val="000000"/>
                <w:sz w:val="20"/>
                <w:szCs w:val="20"/>
                <w:lang w:eastAsia="hu-HU"/>
              </w:rPr>
              <w:t xml:space="preserve">Hátrányos és halmozottan hátrányos helyzetű  tanulók </w:t>
            </w:r>
            <w:r>
              <w:rPr>
                <w:b/>
                <w:bCs/>
                <w:color w:val="000000"/>
                <w:sz w:val="20"/>
                <w:szCs w:val="20"/>
                <w:lang w:eastAsia="hu-HU"/>
              </w:rPr>
              <w:br/>
              <w:t>aránya a szakgimnáziumi tanulókon belül</w:t>
            </w:r>
            <w:r>
              <w:rPr>
                <w:b/>
                <w:bCs/>
                <w:color w:val="000000"/>
                <w:sz w:val="20"/>
                <w:szCs w:val="20"/>
                <w:lang w:eastAsia="hu-HU"/>
              </w:rPr>
              <w:br/>
            </w:r>
            <w:r>
              <w:rPr>
                <w:color w:val="000000"/>
                <w:sz w:val="20"/>
                <w:szCs w:val="20"/>
                <w:lang w:eastAsia="hu-HU"/>
              </w:rPr>
              <w:t>(TS 101)</w:t>
            </w:r>
          </w:p>
        </w:tc>
      </w:tr>
      <w:tr w:rsidR="00795A46" w:rsidTr="00795A46">
        <w:trPr>
          <w:trHeight w:val="328"/>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jc w:val="left"/>
              <w:rPr>
                <w:b/>
                <w:bCs/>
                <w:szCs w:val="22"/>
                <w:lang w:eastAsia="hu-HU"/>
              </w:rPr>
            </w:pPr>
          </w:p>
        </w:tc>
        <w:tc>
          <w:tcPr>
            <w:tcW w:w="1193"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szCs w:val="22"/>
                <w:lang w:eastAsia="hu-HU"/>
              </w:rPr>
            </w:pPr>
            <w:r>
              <w:rPr>
                <w:b/>
                <w:bCs/>
                <w:color w:val="000000"/>
                <w:lang w:eastAsia="hu-HU"/>
              </w:rPr>
              <w:t>Fő</w:t>
            </w:r>
          </w:p>
        </w:tc>
        <w:tc>
          <w:tcPr>
            <w:tcW w:w="1193" w:type="dxa"/>
            <w:tcBorders>
              <w:top w:val="nil"/>
              <w:left w:val="nil"/>
              <w:bottom w:val="nil"/>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w:t>
            </w:r>
          </w:p>
        </w:tc>
        <w:tc>
          <w:tcPr>
            <w:tcW w:w="1405"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1405" w:type="dxa"/>
            <w:tcBorders>
              <w:top w:val="nil"/>
              <w:left w:val="nil"/>
              <w:bottom w:val="nil"/>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w:t>
            </w:r>
          </w:p>
        </w:tc>
        <w:tc>
          <w:tcPr>
            <w:tcW w:w="1345"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1345" w:type="dxa"/>
            <w:tcBorders>
              <w:top w:val="nil"/>
              <w:left w:val="nil"/>
              <w:bottom w:val="nil"/>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w:t>
            </w:r>
          </w:p>
        </w:tc>
      </w:tr>
      <w:tr w:rsidR="00795A46" w:rsidTr="00795A46">
        <w:trPr>
          <w:trHeight w:val="339"/>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119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193" w:type="dxa"/>
            <w:tcBorders>
              <w:top w:val="single" w:sz="4" w:space="0" w:color="auto"/>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40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405" w:type="dxa"/>
            <w:tcBorders>
              <w:top w:val="single" w:sz="4" w:space="0" w:color="auto"/>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34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345" w:type="dxa"/>
            <w:tcBorders>
              <w:top w:val="single" w:sz="4" w:space="0" w:color="auto"/>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r w:rsidR="00795A46" w:rsidTr="00795A46">
        <w:trPr>
          <w:trHeight w:val="361"/>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119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19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40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40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34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34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r w:rsidR="00795A46" w:rsidTr="00795A46">
        <w:trPr>
          <w:trHeight w:val="342"/>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119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19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40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40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34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34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r w:rsidR="00795A46" w:rsidTr="00795A46">
        <w:trPr>
          <w:trHeight w:val="338"/>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119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19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40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40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34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34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r w:rsidR="00795A46" w:rsidTr="00795A46">
        <w:trPr>
          <w:trHeight w:val="349"/>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119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19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40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40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34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34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r w:rsidR="00795A46" w:rsidTr="00795A46">
        <w:trPr>
          <w:trHeight w:val="356"/>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119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19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40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40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34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c>
          <w:tcPr>
            <w:tcW w:w="134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Forrás: TeIR, KSH Tstar</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567"/>
        <w:rPr>
          <w:rFonts w:ascii="Times New Roman" w:hAnsi="Times New Roman"/>
          <w:sz w:val="24"/>
        </w:rPr>
      </w:pPr>
      <w:r>
        <w:rPr>
          <w:rFonts w:ascii="Times New Roman" w:hAnsi="Times New Roman"/>
          <w:sz w:val="24"/>
        </w:rPr>
        <w:t>Csorváson nem működik nappali oktatási rend szerinti középfokú oktatási intézmény, ezért a települési gimnáziumi, szakgimnáziumi, szakiskolai és készségfejlesztő iskolai, hátrányos és halmozottan hátrányos helyzetű tanulóknak a beírt tanulólétszámhoz viszonyított arányát bemutató táblázat kitöltése és elemzése nem releváns.</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highlight w:val="green"/>
        </w:rPr>
        <w:t>4.4. a) 4. számú táblázat - Hátrányos és halmozottan hátrányos helyzet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tbl>
      <w:tblPr>
        <w:tblW w:w="9180" w:type="dxa"/>
        <w:tblInd w:w="2" w:type="dxa"/>
        <w:tblCellMar>
          <w:left w:w="70" w:type="dxa"/>
          <w:right w:w="70" w:type="dxa"/>
        </w:tblCellMar>
        <w:tblLook w:val="00A0" w:firstRow="1" w:lastRow="0" w:firstColumn="1" w:lastColumn="0" w:noHBand="0" w:noVBand="0"/>
      </w:tblPr>
      <w:tblGrid>
        <w:gridCol w:w="1060"/>
        <w:gridCol w:w="3800"/>
        <w:gridCol w:w="4320"/>
      </w:tblGrid>
      <w:tr w:rsidR="00795A46" w:rsidTr="00795A46">
        <w:trPr>
          <w:trHeight w:val="959"/>
        </w:trPr>
        <w:tc>
          <w:tcPr>
            <w:tcW w:w="1060" w:type="dxa"/>
            <w:vMerge w:val="restart"/>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jc w:val="center"/>
              <w:rPr>
                <w:rFonts w:cs="Calibri"/>
                <w:b/>
                <w:bCs/>
                <w:lang w:eastAsia="hu-HU"/>
              </w:rPr>
            </w:pPr>
            <w:r>
              <w:rPr>
                <w:b/>
                <w:bCs/>
                <w:lang w:eastAsia="hu-HU"/>
              </w:rPr>
              <w:t>Év</w:t>
            </w:r>
          </w:p>
        </w:tc>
        <w:tc>
          <w:tcPr>
            <w:tcW w:w="380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 xml:space="preserve">Megállapított hátrányos helyzetű gyermekek és nagykorúvá vált gyermekek száma </w:t>
            </w:r>
            <w:r>
              <w:rPr>
                <w:color w:val="000000"/>
                <w:lang w:eastAsia="hu-HU"/>
              </w:rPr>
              <w:t>(TS 114)</w:t>
            </w:r>
          </w:p>
        </w:tc>
        <w:tc>
          <w:tcPr>
            <w:tcW w:w="432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Megállapított halmozottan hátrányos helyzetű gyermekek és nagykorúvá vált gyermekek száma</w:t>
            </w:r>
            <w:r>
              <w:rPr>
                <w:b/>
                <w:bCs/>
                <w:color w:val="000000"/>
                <w:lang w:eastAsia="hu-HU"/>
              </w:rPr>
              <w:br/>
            </w:r>
            <w:r>
              <w:rPr>
                <w:color w:val="000000"/>
                <w:lang w:eastAsia="hu-HU"/>
              </w:rPr>
              <w:t>(TS 113)</w:t>
            </w:r>
          </w:p>
        </w:tc>
      </w:tr>
      <w:tr w:rsidR="00795A46" w:rsidTr="00795A46">
        <w:trPr>
          <w:trHeight w:val="4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380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432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r>
      <w:tr w:rsidR="00795A46" w:rsidTr="00795A46">
        <w:trPr>
          <w:trHeight w:val="348"/>
        </w:trPr>
        <w:tc>
          <w:tcPr>
            <w:tcW w:w="10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3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23</w:t>
            </w:r>
          </w:p>
        </w:tc>
        <w:tc>
          <w:tcPr>
            <w:tcW w:w="43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35</w:t>
            </w:r>
          </w:p>
        </w:tc>
      </w:tr>
      <w:tr w:rsidR="00795A46" w:rsidTr="00795A46">
        <w:trPr>
          <w:trHeight w:val="357"/>
        </w:trPr>
        <w:tc>
          <w:tcPr>
            <w:tcW w:w="10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3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35</w:t>
            </w:r>
          </w:p>
        </w:tc>
        <w:tc>
          <w:tcPr>
            <w:tcW w:w="43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44</w:t>
            </w:r>
          </w:p>
        </w:tc>
      </w:tr>
      <w:tr w:rsidR="00795A46" w:rsidTr="00795A46">
        <w:trPr>
          <w:trHeight w:val="340"/>
        </w:trPr>
        <w:tc>
          <w:tcPr>
            <w:tcW w:w="10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3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22</w:t>
            </w:r>
          </w:p>
        </w:tc>
        <w:tc>
          <w:tcPr>
            <w:tcW w:w="43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46</w:t>
            </w:r>
          </w:p>
        </w:tc>
      </w:tr>
      <w:tr w:rsidR="00795A46" w:rsidTr="00795A46">
        <w:trPr>
          <w:trHeight w:val="350"/>
        </w:trPr>
        <w:tc>
          <w:tcPr>
            <w:tcW w:w="10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3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34</w:t>
            </w:r>
          </w:p>
        </w:tc>
        <w:tc>
          <w:tcPr>
            <w:tcW w:w="43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23</w:t>
            </w:r>
          </w:p>
        </w:tc>
      </w:tr>
      <w:tr w:rsidR="00795A46" w:rsidTr="00795A46">
        <w:trPr>
          <w:trHeight w:val="360"/>
        </w:trPr>
        <w:tc>
          <w:tcPr>
            <w:tcW w:w="10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3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19</w:t>
            </w:r>
          </w:p>
        </w:tc>
        <w:tc>
          <w:tcPr>
            <w:tcW w:w="43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19</w:t>
            </w:r>
          </w:p>
        </w:tc>
      </w:tr>
      <w:tr w:rsidR="00795A46" w:rsidTr="00795A46">
        <w:trPr>
          <w:trHeight w:val="342"/>
        </w:trPr>
        <w:tc>
          <w:tcPr>
            <w:tcW w:w="10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3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21</w:t>
            </w:r>
          </w:p>
        </w:tc>
        <w:tc>
          <w:tcPr>
            <w:tcW w:w="43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Forrás: TeIR, KSH Tstar</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noProof/>
          <w:lang w:eastAsia="hu-HU"/>
        </w:rPr>
        <w:drawing>
          <wp:inline distT="0" distB="0" distL="0" distR="0" wp14:anchorId="63DB1771" wp14:editId="671F2F34">
            <wp:extent cx="5705475" cy="3295650"/>
            <wp:effectExtent l="0" t="0" r="9525" b="0"/>
            <wp:docPr id="30" name="Diagram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567"/>
        <w:rPr>
          <w:rFonts w:ascii="Times New Roman" w:hAnsi="Times New Roman"/>
          <w:sz w:val="24"/>
        </w:rPr>
      </w:pPr>
      <w:r>
        <w:rPr>
          <w:rFonts w:ascii="Times New Roman" w:hAnsi="Times New Roman"/>
          <w:sz w:val="24"/>
        </w:rPr>
        <w:t>A fenti táblázat megmutatja, hogy hogyan alakult a településen a kiskorú és nagykorúvá vált hátrányos és halmozottan hátrányos helyzetű gyermekek száma. Ez a mutatószám – örömünkre – évről évre csökken. A Gyvt. 67/A. §-a 2013. szeptember 1. napja óta változatlanul szabályozza gyermekek hátrányos és halmozottan hátrányos helyzetének megállapítását, és annak alapfeltételéül előírja, hogy a fenti jogosultságot megszerezni kívánó gyermek rendszeres gyermekvédelmi kedvezményre legyen jogosult. Egy gyermekcsoport képez kivételt az alapfeltétel alól, ez pedig a nevelésbe vett gyermekek és utógondozott tanulói vagy hallgatói jogviszonyban álló fiatal felnőttek köre, akik társadalmi helyzetüknél fogva – és rendszeres gyermekvédelmi kedvezmény megállapítása nélkül - halmozottan hátrányos helyzetűek, annak minden jogelőnyével együtt. Mivel ennek a körnek nem a települési önkormányzatunk állapítja meg halmozottan hátrányos helyzetét, ezért azt a fenti táblázat nem tartalmazza.</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numPr>
          <w:ilvl w:val="0"/>
          <w:numId w:val="19"/>
        </w:numPr>
        <w:autoSpaceDE w:val="0"/>
        <w:spacing w:after="20"/>
        <w:rPr>
          <w:rFonts w:ascii="Times New Roman" w:hAnsi="Times New Roman"/>
        </w:rPr>
      </w:pPr>
      <w:r>
        <w:rPr>
          <w:rFonts w:ascii="Times New Roman" w:hAnsi="Times New Roman"/>
          <w:b/>
          <w:bCs/>
          <w:sz w:val="24"/>
        </w:rPr>
        <w:t>a közneveléshez kapcsolódó kiegészítő szolgáltatások köre és jellemzői a tanulólétszámhoz viszonyítva</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ind w:firstLine="567"/>
        <w:rPr>
          <w:rFonts w:ascii="Times New Roman" w:hAnsi="Times New Roman"/>
          <w:color w:val="000000"/>
          <w:sz w:val="24"/>
        </w:rPr>
      </w:pPr>
      <w:r>
        <w:rPr>
          <w:rFonts w:ascii="Times New Roman" w:hAnsi="Times New Roman"/>
          <w:color w:val="000000"/>
          <w:sz w:val="24"/>
        </w:rPr>
        <w:t>Az óvoda intézményegységeibe a fejlesztőpedagógus és a logopédus a Békés Megyei Pedagógiai Szakszolgálattól jön ki, a sajátos nevelési igényű (SNI-s) gyermekek fejlesztését pedig utazó gyógypedagógussal tudjuk megoldani. A mozgásterápia, a TSMT-, illetve a SZIT-terápia fejlesztései minden esetben Békéscsabán történnek, de sajnos előfordul, hogy a gyermekek odaszállítását a szülők nem vállalják. Az óvoda igényt tartana egy az intézményben tevékenykedő pszichológus szakember közreműködésére a gyermekek pszichés egészségfejlesztése érdekében.</w:t>
      </w:r>
    </w:p>
    <w:p w:rsidR="00795A46" w:rsidRDefault="00795A46" w:rsidP="00795A46">
      <w:pPr>
        <w:ind w:firstLine="567"/>
        <w:rPr>
          <w:rFonts w:ascii="Times New Roman" w:hAnsi="Times New Roman"/>
          <w:color w:val="000000"/>
          <w:sz w:val="24"/>
        </w:rPr>
      </w:pPr>
      <w:r>
        <w:rPr>
          <w:rFonts w:ascii="Times New Roman" w:hAnsi="Times New Roman"/>
          <w:color w:val="000000"/>
          <w:sz w:val="24"/>
        </w:rPr>
        <w:t>Az iskola intézményének feladatellátási helyein sem dolgozik sajnos pszichológus. Az Orosházi Kistérség Családsegítő és Gyermekjóléti Szolgálata segítségével érhető el a szolgáltatás az általános iskolás korúak és szüleik számára. Az iskola tapasztalata szerint sokaknak szüksége lenne a pszichológus általi megsegítése rendszeres igénybevételére.</w:t>
      </w:r>
    </w:p>
    <w:p w:rsidR="00795A46" w:rsidRDefault="00795A46" w:rsidP="00795A46">
      <w:pPr>
        <w:rPr>
          <w:rFonts w:ascii="Times New Roman" w:hAnsi="Times New Roman"/>
          <w:color w:val="000000"/>
          <w:sz w:val="24"/>
        </w:rPr>
      </w:pPr>
      <w:r>
        <w:rPr>
          <w:rFonts w:ascii="Times New Roman" w:hAnsi="Times New Roman"/>
          <w:color w:val="000000"/>
          <w:sz w:val="24"/>
        </w:rPr>
        <w:t>Az iskola rendelkezik egy fő gyógypedagógiai végzettségű tanárral, így az SNI-s BTM-es diákok fejlesztése helyben ellátható. A Pedagógiai Szakszolgálat utazó logopédusa ellátja az általános iskola tanulóit is.</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highlight w:val="green"/>
        </w:rPr>
        <w:t>4.4.1. számú táblázat - Óvodai nevelés adatai</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tbl>
      <w:tblPr>
        <w:tblW w:w="9000" w:type="dxa"/>
        <w:tblInd w:w="2" w:type="dxa"/>
        <w:tblCellMar>
          <w:left w:w="70" w:type="dxa"/>
          <w:right w:w="70" w:type="dxa"/>
        </w:tblCellMar>
        <w:tblLook w:val="00A0" w:firstRow="1" w:lastRow="0" w:firstColumn="1" w:lastColumn="0" w:noHBand="0" w:noVBand="0"/>
      </w:tblPr>
      <w:tblGrid>
        <w:gridCol w:w="5940"/>
        <w:gridCol w:w="1260"/>
        <w:gridCol w:w="1800"/>
      </w:tblGrid>
      <w:tr w:rsidR="00795A46" w:rsidTr="00795A46">
        <w:trPr>
          <w:trHeight w:val="379"/>
        </w:trPr>
        <w:tc>
          <w:tcPr>
            <w:tcW w:w="9000" w:type="dxa"/>
            <w:gridSpan w:val="3"/>
            <w:tcBorders>
              <w:top w:val="single" w:sz="4" w:space="0" w:color="auto"/>
              <w:left w:val="single" w:sz="4" w:space="0" w:color="auto"/>
              <w:bottom w:val="single" w:sz="4" w:space="0" w:color="auto"/>
              <w:right w:val="single" w:sz="4" w:space="0" w:color="000000"/>
            </w:tcBorders>
            <w:noWrap/>
            <w:vAlign w:val="center"/>
            <w:hideMark/>
          </w:tcPr>
          <w:p w:rsidR="00795A46" w:rsidRDefault="00795A46">
            <w:pPr>
              <w:suppressAutoHyphens w:val="0"/>
              <w:jc w:val="center"/>
              <w:rPr>
                <w:rFonts w:cs="Calibri"/>
                <w:b/>
                <w:bCs/>
                <w:lang w:eastAsia="hu-HU"/>
              </w:rPr>
            </w:pPr>
            <w:r>
              <w:rPr>
                <w:b/>
                <w:bCs/>
                <w:lang w:eastAsia="hu-HU"/>
              </w:rPr>
              <w:t> ÓVODAI ELLÁTOTTSÁG</w:t>
            </w:r>
          </w:p>
        </w:tc>
      </w:tr>
      <w:tr w:rsidR="00795A46" w:rsidTr="00795A46">
        <w:trPr>
          <w:trHeight w:val="288"/>
        </w:trPr>
        <w:tc>
          <w:tcPr>
            <w:tcW w:w="5940" w:type="dxa"/>
            <w:tcBorders>
              <w:top w:val="nil"/>
              <w:left w:val="single" w:sz="4" w:space="0" w:color="auto"/>
              <w:bottom w:val="single" w:sz="4" w:space="0" w:color="auto"/>
              <w:right w:val="single" w:sz="4" w:space="0" w:color="auto"/>
            </w:tcBorders>
            <w:noWrap/>
            <w:vAlign w:val="bottom"/>
            <w:hideMark/>
          </w:tcPr>
          <w:p w:rsidR="00795A46" w:rsidRDefault="00795A46">
            <w:pPr>
              <w:suppressAutoHyphens w:val="0"/>
              <w:jc w:val="left"/>
              <w:rPr>
                <w:lang w:eastAsia="hu-HU"/>
              </w:rPr>
            </w:pPr>
            <w:r>
              <w:rPr>
                <w:lang w:eastAsia="hu-HU"/>
              </w:rPr>
              <w:t>Az óvoda telephelyeinek száma (db)</w:t>
            </w:r>
          </w:p>
        </w:tc>
        <w:tc>
          <w:tcPr>
            <w:tcW w:w="3060" w:type="dxa"/>
            <w:gridSpan w:val="2"/>
            <w:tcBorders>
              <w:top w:val="single" w:sz="4" w:space="0" w:color="auto"/>
              <w:left w:val="nil"/>
              <w:bottom w:val="single" w:sz="4" w:space="0" w:color="auto"/>
              <w:right w:val="single" w:sz="4" w:space="0" w:color="000000"/>
            </w:tcBorders>
            <w:vAlign w:val="center"/>
            <w:hideMark/>
          </w:tcPr>
          <w:p w:rsidR="00795A46" w:rsidRDefault="00795A46">
            <w:pPr>
              <w:suppressAutoHyphens w:val="0"/>
              <w:jc w:val="center"/>
              <w:rPr>
                <w:sz w:val="20"/>
                <w:szCs w:val="20"/>
                <w:lang w:eastAsia="hu-HU"/>
              </w:rPr>
            </w:pPr>
            <w:r>
              <w:rPr>
                <w:sz w:val="20"/>
                <w:szCs w:val="20"/>
                <w:lang w:eastAsia="hu-HU"/>
              </w:rPr>
              <w:t>2</w:t>
            </w:r>
          </w:p>
        </w:tc>
      </w:tr>
      <w:tr w:rsidR="00795A46" w:rsidTr="00795A46">
        <w:trPr>
          <w:trHeight w:val="394"/>
        </w:trPr>
        <w:tc>
          <w:tcPr>
            <w:tcW w:w="5940" w:type="dxa"/>
            <w:tcBorders>
              <w:top w:val="nil"/>
              <w:left w:val="single" w:sz="4" w:space="0" w:color="auto"/>
              <w:bottom w:val="single" w:sz="4" w:space="0" w:color="auto"/>
              <w:right w:val="single" w:sz="4" w:space="0" w:color="auto"/>
            </w:tcBorders>
            <w:noWrap/>
            <w:vAlign w:val="bottom"/>
            <w:hideMark/>
          </w:tcPr>
          <w:p w:rsidR="00795A46" w:rsidRDefault="00795A46">
            <w:pPr>
              <w:suppressAutoHyphens w:val="0"/>
              <w:jc w:val="left"/>
              <w:rPr>
                <w:szCs w:val="22"/>
                <w:lang w:eastAsia="hu-HU"/>
              </w:rPr>
            </w:pPr>
            <w:r>
              <w:rPr>
                <w:lang w:eastAsia="hu-HU"/>
              </w:rPr>
              <w:t>Hány településről járnak be a gyermekek (db)</w:t>
            </w:r>
          </w:p>
        </w:tc>
        <w:tc>
          <w:tcPr>
            <w:tcW w:w="3060" w:type="dxa"/>
            <w:gridSpan w:val="2"/>
            <w:tcBorders>
              <w:top w:val="single" w:sz="4" w:space="0" w:color="auto"/>
              <w:left w:val="nil"/>
              <w:bottom w:val="single" w:sz="4" w:space="0" w:color="auto"/>
              <w:right w:val="single" w:sz="4" w:space="0" w:color="000000"/>
            </w:tcBorders>
            <w:vAlign w:val="center"/>
            <w:hideMark/>
          </w:tcPr>
          <w:p w:rsidR="00795A46" w:rsidRDefault="00795A46">
            <w:pPr>
              <w:suppressAutoHyphens w:val="0"/>
              <w:jc w:val="center"/>
              <w:rPr>
                <w:sz w:val="20"/>
                <w:szCs w:val="20"/>
                <w:lang w:eastAsia="hu-HU"/>
              </w:rPr>
            </w:pPr>
            <w:r>
              <w:rPr>
                <w:sz w:val="20"/>
                <w:szCs w:val="20"/>
                <w:lang w:eastAsia="hu-HU"/>
              </w:rPr>
              <w:t>1</w:t>
            </w:r>
          </w:p>
        </w:tc>
      </w:tr>
      <w:tr w:rsidR="00795A46" w:rsidTr="00795A46">
        <w:trPr>
          <w:trHeight w:val="331"/>
        </w:trPr>
        <w:tc>
          <w:tcPr>
            <w:tcW w:w="5940" w:type="dxa"/>
            <w:tcBorders>
              <w:top w:val="nil"/>
              <w:left w:val="single" w:sz="4" w:space="0" w:color="auto"/>
              <w:bottom w:val="single" w:sz="4" w:space="0" w:color="auto"/>
              <w:right w:val="single" w:sz="4" w:space="0" w:color="auto"/>
            </w:tcBorders>
            <w:noWrap/>
            <w:vAlign w:val="bottom"/>
            <w:hideMark/>
          </w:tcPr>
          <w:p w:rsidR="00795A46" w:rsidRDefault="00795A46">
            <w:pPr>
              <w:suppressAutoHyphens w:val="0"/>
              <w:jc w:val="left"/>
              <w:rPr>
                <w:szCs w:val="22"/>
                <w:lang w:eastAsia="hu-HU"/>
              </w:rPr>
            </w:pPr>
            <w:r>
              <w:rPr>
                <w:lang w:eastAsia="hu-HU"/>
              </w:rPr>
              <w:t>Óvodai férőhelyek száma (fő)</w:t>
            </w:r>
          </w:p>
        </w:tc>
        <w:tc>
          <w:tcPr>
            <w:tcW w:w="3060" w:type="dxa"/>
            <w:gridSpan w:val="2"/>
            <w:tcBorders>
              <w:top w:val="single" w:sz="4" w:space="0" w:color="auto"/>
              <w:left w:val="nil"/>
              <w:bottom w:val="single" w:sz="4" w:space="0" w:color="auto"/>
              <w:right w:val="single" w:sz="4" w:space="0" w:color="000000"/>
            </w:tcBorders>
            <w:vAlign w:val="center"/>
            <w:hideMark/>
          </w:tcPr>
          <w:p w:rsidR="00795A46" w:rsidRDefault="00795A46">
            <w:pPr>
              <w:suppressAutoHyphens w:val="0"/>
              <w:jc w:val="center"/>
              <w:rPr>
                <w:sz w:val="20"/>
                <w:szCs w:val="20"/>
                <w:lang w:eastAsia="hu-HU"/>
              </w:rPr>
            </w:pPr>
            <w:r>
              <w:rPr>
                <w:sz w:val="20"/>
                <w:szCs w:val="20"/>
                <w:lang w:eastAsia="hu-HU"/>
              </w:rPr>
              <w:t>150</w:t>
            </w:r>
          </w:p>
        </w:tc>
      </w:tr>
      <w:tr w:rsidR="00795A46" w:rsidTr="00795A46">
        <w:trPr>
          <w:trHeight w:val="378"/>
        </w:trPr>
        <w:tc>
          <w:tcPr>
            <w:tcW w:w="59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left"/>
              <w:rPr>
                <w:sz w:val="18"/>
                <w:szCs w:val="18"/>
                <w:lang w:eastAsia="hu-HU"/>
              </w:rPr>
            </w:pPr>
            <w:r>
              <w:rPr>
                <w:sz w:val="18"/>
                <w:szCs w:val="18"/>
                <w:lang w:eastAsia="hu-HU"/>
              </w:rPr>
              <w:t>Óvodai gyermekcsoportok száma (gyógypedagógiai neveléssel együtt) (db)</w:t>
            </w:r>
          </w:p>
        </w:tc>
        <w:tc>
          <w:tcPr>
            <w:tcW w:w="3060" w:type="dxa"/>
            <w:gridSpan w:val="2"/>
            <w:tcBorders>
              <w:top w:val="single" w:sz="4" w:space="0" w:color="auto"/>
              <w:left w:val="nil"/>
              <w:bottom w:val="single" w:sz="4" w:space="0" w:color="auto"/>
              <w:right w:val="single" w:sz="4" w:space="0" w:color="000000"/>
            </w:tcBorders>
            <w:vAlign w:val="center"/>
            <w:hideMark/>
          </w:tcPr>
          <w:p w:rsidR="00795A46" w:rsidRDefault="00795A46">
            <w:pPr>
              <w:suppressAutoHyphens w:val="0"/>
              <w:jc w:val="center"/>
              <w:rPr>
                <w:sz w:val="20"/>
                <w:szCs w:val="20"/>
                <w:lang w:eastAsia="hu-HU"/>
              </w:rPr>
            </w:pPr>
            <w:r>
              <w:rPr>
                <w:sz w:val="20"/>
                <w:szCs w:val="20"/>
                <w:lang w:eastAsia="hu-HU"/>
              </w:rPr>
              <w:t>6</w:t>
            </w:r>
          </w:p>
        </w:tc>
      </w:tr>
      <w:tr w:rsidR="00795A46" w:rsidTr="00795A46">
        <w:trPr>
          <w:trHeight w:val="415"/>
        </w:trPr>
        <w:tc>
          <w:tcPr>
            <w:tcW w:w="5940" w:type="dxa"/>
            <w:tcBorders>
              <w:top w:val="nil"/>
              <w:left w:val="single" w:sz="4" w:space="0" w:color="auto"/>
              <w:bottom w:val="single" w:sz="4" w:space="0" w:color="auto"/>
              <w:right w:val="single" w:sz="4" w:space="0" w:color="auto"/>
            </w:tcBorders>
            <w:noWrap/>
            <w:vAlign w:val="bottom"/>
            <w:hideMark/>
          </w:tcPr>
          <w:p w:rsidR="00795A46" w:rsidRDefault="00795A46">
            <w:pPr>
              <w:suppressAutoHyphens w:val="0"/>
              <w:jc w:val="left"/>
              <w:rPr>
                <w:szCs w:val="22"/>
                <w:lang w:eastAsia="hu-HU"/>
              </w:rPr>
            </w:pPr>
            <w:r>
              <w:rPr>
                <w:lang w:eastAsia="hu-HU"/>
              </w:rPr>
              <w:t>Az óvoda nyitvatartási ideje (...h-tól ...h-ig):</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r>
      <w:tr w:rsidR="00795A46" w:rsidTr="00795A46">
        <w:trPr>
          <w:trHeight w:val="286"/>
        </w:trPr>
        <w:tc>
          <w:tcPr>
            <w:tcW w:w="5940" w:type="dxa"/>
            <w:tcBorders>
              <w:top w:val="nil"/>
              <w:left w:val="single" w:sz="4" w:space="0" w:color="auto"/>
              <w:bottom w:val="single" w:sz="4" w:space="0" w:color="auto"/>
              <w:right w:val="single" w:sz="4" w:space="0" w:color="auto"/>
            </w:tcBorders>
            <w:noWrap/>
            <w:vAlign w:val="bottom"/>
            <w:hideMark/>
          </w:tcPr>
          <w:p w:rsidR="00795A46" w:rsidRDefault="00795A46">
            <w:pPr>
              <w:suppressAutoHyphens w:val="0"/>
              <w:jc w:val="left"/>
              <w:rPr>
                <w:szCs w:val="22"/>
                <w:lang w:eastAsia="hu-HU"/>
              </w:rPr>
            </w:pPr>
            <w:r>
              <w:rPr>
                <w:lang w:eastAsia="hu-HU"/>
              </w:rPr>
              <w:t>A nyári óvoda-bezárás időtartama (nap)</w:t>
            </w:r>
          </w:p>
        </w:tc>
        <w:tc>
          <w:tcPr>
            <w:tcW w:w="3060" w:type="dxa"/>
            <w:gridSpan w:val="2"/>
            <w:tcBorders>
              <w:top w:val="single" w:sz="4" w:space="0" w:color="auto"/>
              <w:left w:val="nil"/>
              <w:bottom w:val="single" w:sz="4" w:space="0" w:color="auto"/>
              <w:right w:val="single" w:sz="4" w:space="0" w:color="000000"/>
            </w:tcBorders>
            <w:vAlign w:val="center"/>
            <w:hideMark/>
          </w:tcPr>
          <w:p w:rsidR="00795A46" w:rsidRDefault="00795A46">
            <w:pPr>
              <w:suppressAutoHyphens w:val="0"/>
              <w:jc w:val="center"/>
              <w:rPr>
                <w:sz w:val="20"/>
                <w:szCs w:val="20"/>
                <w:lang w:eastAsia="hu-HU"/>
              </w:rPr>
            </w:pPr>
            <w:r>
              <w:rPr>
                <w:sz w:val="20"/>
                <w:szCs w:val="20"/>
                <w:lang w:eastAsia="hu-HU"/>
              </w:rPr>
              <w:t>változó</w:t>
            </w:r>
          </w:p>
        </w:tc>
      </w:tr>
      <w:tr w:rsidR="00795A46" w:rsidTr="00795A46">
        <w:trPr>
          <w:trHeight w:val="334"/>
        </w:trPr>
        <w:tc>
          <w:tcPr>
            <w:tcW w:w="5940" w:type="dxa"/>
            <w:tcBorders>
              <w:top w:val="nil"/>
              <w:left w:val="single" w:sz="4" w:space="0" w:color="auto"/>
              <w:bottom w:val="single" w:sz="4" w:space="0" w:color="auto"/>
              <w:right w:val="single" w:sz="4" w:space="0" w:color="auto"/>
            </w:tcBorders>
            <w:noWrap/>
            <w:vAlign w:val="center"/>
            <w:hideMark/>
          </w:tcPr>
          <w:p w:rsidR="00795A46" w:rsidRDefault="00795A46">
            <w:pPr>
              <w:suppressAutoHyphens w:val="0"/>
              <w:jc w:val="center"/>
              <w:rPr>
                <w:b/>
                <w:bCs/>
                <w:szCs w:val="22"/>
                <w:lang w:eastAsia="hu-HU"/>
              </w:rPr>
            </w:pPr>
            <w:r>
              <w:rPr>
                <w:b/>
                <w:bCs/>
                <w:lang w:eastAsia="hu-HU"/>
              </w:rPr>
              <w:t>Személyi feltételek</w:t>
            </w:r>
          </w:p>
        </w:tc>
        <w:tc>
          <w:tcPr>
            <w:tcW w:w="126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b/>
                <w:bCs/>
                <w:lang w:eastAsia="hu-HU"/>
              </w:rPr>
            </w:pPr>
            <w:r>
              <w:rPr>
                <w:b/>
                <w:bCs/>
                <w:lang w:eastAsia="hu-HU"/>
              </w:rPr>
              <w:t>Fő</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left"/>
              <w:rPr>
                <w:b/>
                <w:bCs/>
                <w:lang w:eastAsia="hu-HU"/>
              </w:rPr>
            </w:pPr>
            <w:r>
              <w:rPr>
                <w:b/>
                <w:bCs/>
                <w:lang w:eastAsia="hu-HU"/>
              </w:rPr>
              <w:t>Hiányzó létszám</w:t>
            </w:r>
          </w:p>
        </w:tc>
      </w:tr>
      <w:tr w:rsidR="00795A46" w:rsidTr="00795A46">
        <w:trPr>
          <w:trHeight w:val="366"/>
        </w:trPr>
        <w:tc>
          <w:tcPr>
            <w:tcW w:w="5940" w:type="dxa"/>
            <w:tcBorders>
              <w:top w:val="nil"/>
              <w:left w:val="single" w:sz="4" w:space="0" w:color="auto"/>
              <w:bottom w:val="single" w:sz="4" w:space="0" w:color="auto"/>
              <w:right w:val="single" w:sz="4" w:space="0" w:color="auto"/>
            </w:tcBorders>
            <w:vAlign w:val="bottom"/>
            <w:hideMark/>
          </w:tcPr>
          <w:p w:rsidR="00795A46" w:rsidRDefault="00795A46">
            <w:pPr>
              <w:suppressAutoHyphens w:val="0"/>
              <w:jc w:val="left"/>
              <w:rPr>
                <w:lang w:eastAsia="hu-HU"/>
              </w:rPr>
            </w:pPr>
            <w:r>
              <w:rPr>
                <w:lang w:eastAsia="hu-HU"/>
              </w:rPr>
              <w:t>Óvodapedagógusok száma (ebből 2 fő pedagógiai asszisztens)</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14</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r>
      <w:tr w:rsidR="00795A46" w:rsidTr="00795A46">
        <w:trPr>
          <w:trHeight w:val="300"/>
        </w:trPr>
        <w:tc>
          <w:tcPr>
            <w:tcW w:w="5940" w:type="dxa"/>
            <w:tcBorders>
              <w:top w:val="nil"/>
              <w:left w:val="single" w:sz="4" w:space="0" w:color="auto"/>
              <w:bottom w:val="single" w:sz="4" w:space="0" w:color="auto"/>
              <w:right w:val="single" w:sz="4" w:space="0" w:color="auto"/>
            </w:tcBorders>
            <w:noWrap/>
            <w:vAlign w:val="bottom"/>
            <w:hideMark/>
          </w:tcPr>
          <w:p w:rsidR="00795A46" w:rsidRDefault="00795A46">
            <w:pPr>
              <w:suppressAutoHyphens w:val="0"/>
              <w:jc w:val="left"/>
              <w:rPr>
                <w:szCs w:val="22"/>
                <w:lang w:eastAsia="hu-HU"/>
              </w:rPr>
            </w:pPr>
            <w:r>
              <w:rPr>
                <w:lang w:eastAsia="hu-HU"/>
              </w:rPr>
              <w:t>Ebből diplomás óvodapedagógusok száma</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12</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r>
      <w:tr w:rsidR="00795A46" w:rsidTr="00795A46">
        <w:trPr>
          <w:trHeight w:val="300"/>
        </w:trPr>
        <w:tc>
          <w:tcPr>
            <w:tcW w:w="5940" w:type="dxa"/>
            <w:tcBorders>
              <w:top w:val="nil"/>
              <w:left w:val="single" w:sz="4" w:space="0" w:color="auto"/>
              <w:bottom w:val="single" w:sz="4" w:space="0" w:color="auto"/>
              <w:right w:val="single" w:sz="4" w:space="0" w:color="auto"/>
            </w:tcBorders>
            <w:noWrap/>
            <w:vAlign w:val="bottom"/>
            <w:hideMark/>
          </w:tcPr>
          <w:p w:rsidR="00795A46" w:rsidRDefault="00795A46">
            <w:pPr>
              <w:suppressAutoHyphens w:val="0"/>
              <w:jc w:val="left"/>
              <w:rPr>
                <w:szCs w:val="22"/>
                <w:lang w:eastAsia="hu-HU"/>
              </w:rPr>
            </w:pPr>
            <w:r>
              <w:rPr>
                <w:lang w:eastAsia="hu-HU"/>
              </w:rPr>
              <w:t>Gyógypedagógusok létszáma</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r>
      <w:tr w:rsidR="00795A46" w:rsidTr="00795A46">
        <w:trPr>
          <w:trHeight w:val="300"/>
        </w:trPr>
        <w:tc>
          <w:tcPr>
            <w:tcW w:w="5940" w:type="dxa"/>
            <w:tcBorders>
              <w:top w:val="nil"/>
              <w:left w:val="single" w:sz="4" w:space="0" w:color="auto"/>
              <w:bottom w:val="single" w:sz="4" w:space="0" w:color="auto"/>
              <w:right w:val="single" w:sz="4" w:space="0" w:color="auto"/>
            </w:tcBorders>
            <w:noWrap/>
            <w:vAlign w:val="bottom"/>
            <w:hideMark/>
          </w:tcPr>
          <w:p w:rsidR="00795A46" w:rsidRDefault="00795A46">
            <w:pPr>
              <w:suppressAutoHyphens w:val="0"/>
              <w:jc w:val="left"/>
              <w:rPr>
                <w:szCs w:val="22"/>
                <w:lang w:eastAsia="hu-HU"/>
              </w:rPr>
            </w:pPr>
            <w:r>
              <w:rPr>
                <w:lang w:eastAsia="hu-HU"/>
              </w:rPr>
              <w:t>Dajka/gondozónő</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6</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r>
      <w:tr w:rsidR="00795A46" w:rsidTr="00795A46">
        <w:trPr>
          <w:trHeight w:val="300"/>
        </w:trPr>
        <w:tc>
          <w:tcPr>
            <w:tcW w:w="5940" w:type="dxa"/>
            <w:tcBorders>
              <w:top w:val="nil"/>
              <w:left w:val="single" w:sz="4" w:space="0" w:color="auto"/>
              <w:bottom w:val="single" w:sz="4" w:space="0" w:color="auto"/>
              <w:right w:val="single" w:sz="4" w:space="0" w:color="auto"/>
            </w:tcBorders>
            <w:noWrap/>
            <w:vAlign w:val="bottom"/>
            <w:hideMark/>
          </w:tcPr>
          <w:p w:rsidR="00795A46" w:rsidRDefault="00795A46">
            <w:pPr>
              <w:suppressAutoHyphens w:val="0"/>
              <w:jc w:val="left"/>
              <w:rPr>
                <w:szCs w:val="22"/>
                <w:lang w:eastAsia="hu-HU"/>
              </w:rPr>
            </w:pPr>
            <w:r>
              <w:rPr>
                <w:lang w:eastAsia="hu-HU"/>
              </w:rPr>
              <w:t>Kisegítő személyzet</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Forrás: Önkormányzati, intézményi adatgyűjtés</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noProof/>
          <w:lang w:eastAsia="hu-HU"/>
        </w:rPr>
        <w:drawing>
          <wp:inline distT="0" distB="0" distL="0" distR="0" wp14:anchorId="3262CB70" wp14:editId="13235099">
            <wp:extent cx="4229100" cy="2819400"/>
            <wp:effectExtent l="0" t="0" r="0" b="0"/>
            <wp:docPr id="29" name="Diagram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rPr>
        <w:t>A település óvodájának két feladatellátási helyén biztosított a gyermekek szakemberek általi gondozása-nevelése. Az intézmény infrastruktúra-fejlesztése ütemezetten történik. Az István király utcai intézményegység tekintetében tervbe vettük egy új csoportszoba, egy többfunkciós (testmozgásra is alkalmas) terem és kisegítő helyiségek építését és berendezését.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rPr>
        <w:t xml:space="preserve">A szakemberrel való ellátottság kimagasló, jelenleg minden óvodai csoportban óvónők és a jogszabály által előírt pedagógiai asszisztensek és dajkák munkálkodnak az óvodáskorúak szocializációja érdekében.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highlight w:val="green"/>
        </w:rPr>
        <w:t>4.4.2. számú táblázat - Óvodai nevelés adatai</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4"/>
        </w:rPr>
      </w:pPr>
      <w:r>
        <w:rPr>
          <w:rFonts w:ascii="Times New Roman" w:hAnsi="Times New Roman"/>
          <w:sz w:val="24"/>
        </w:rPr>
        <w:t>A települési óvodájának mindkét feladatellátási helye azzal büszkélkedhet, hogy igen magasak a kapacitás-kihasználtsági mutatói. A felvett gyermekek létszáma csak egy adat a számos közül, ami meghatározza az intézmény kapacitás-kihasználtságát. Ugyanilyen fontos, hogy ezek az intézménybe felvett gyermekek a szakmai feladatellátás szempontjából „mennyinek számítanak”. A Pedagógiai Szakszolgálatok által kiállított BTMN diagnózissal rendelkező - beilleszkedési-, tanulási- vagy magatartászavarral küzdő gyermekek ugyanis a fejlesztési igényük, a rájuk való odafigyelés vagy a fegyelmezési különbözőségek ellenére csak egy gyermeknek számítanak, de például a sajátos nevelési igényű (SNI-s) gyermekek kettőnek, de közülük is az egészséges gyermekekkel együtt nevelhető autista gyermek három gyermeknek számítanak a korosztály óvodai csoportba való besorolása tekintetében. Ha a lent látható táblázat oszlopaiban megnézzük az óvodába beírt gyermekek számát, akkor megállapíthatjuk, hogy ez a statisztikai mutatószám csak azt határozza meg, hogy hány gyermekkorú személy tartozik az óvodaépületek valamely csoportjába. Az azonban nem derül ki belőle, hogy az óvodai csoportszobák kötött mérete miatt (ez is meghatározza a csoportba beírható gyermekek számát, ami jelenleg 2 m2/gyermek), az egészséges, egynek számító  gyermekek mellett még hány fő, különböző problémákkal küzdő, több gyermeknek számító óvodáskorú vehető fel egy adott csoportba. Az egy óvodai csoportba beírható gyermeklétszámnak meg kell felelnie a négyzetméter-szabálynak, az egészségesek-problémások arányának, a nehézségekkel küzdők integrációs törekvéseinek figyelembevételével, de a szakmai munka, a gyermekek fejlődések biztosításával, és az ezeket szabályozó, hatályos jogszabályok érvényre juttatásával.</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noProof/>
          <w:lang w:eastAsia="hu-HU"/>
        </w:rPr>
        <w:drawing>
          <wp:inline distT="0" distB="0" distL="0" distR="0" wp14:anchorId="4CD7A6F1" wp14:editId="082C4F95">
            <wp:extent cx="5924550" cy="5505450"/>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24550" cy="5505450"/>
                    </a:xfrm>
                    <a:prstGeom prst="rect">
                      <a:avLst/>
                    </a:prstGeom>
                    <a:noFill/>
                    <a:ln>
                      <a:noFill/>
                    </a:ln>
                  </pic:spPr>
                </pic:pic>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Forrás: TeIR, KSH Tstar, Önkormányzati adatgyűjtés</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cs="Calibri"/>
          <w:noProof/>
          <w:lang w:eastAsia="hu-HU"/>
        </w:rPr>
      </w:pPr>
    </w:p>
    <w:p w:rsidR="00795A46" w:rsidRDefault="00795A46" w:rsidP="00795A46">
      <w:pPr>
        <w:pStyle w:val="NormlCalibri11"/>
        <w:pBdr>
          <w:top w:val="none" w:sz="0" w:space="0" w:color="auto"/>
          <w:left w:val="none" w:sz="0" w:space="0" w:color="auto"/>
          <w:bottom w:val="none" w:sz="0" w:space="0" w:color="auto"/>
          <w:right w:val="none" w:sz="0" w:space="0" w:color="auto"/>
        </w:pBdr>
        <w:rPr>
          <w:noProof/>
          <w:lang w:eastAsia="hu-HU"/>
        </w:rPr>
      </w:pPr>
    </w:p>
    <w:p w:rsidR="00795A46" w:rsidRDefault="00795A46" w:rsidP="00795A46">
      <w:pPr>
        <w:suppressAutoHyphens w:val="0"/>
        <w:jc w:val="left"/>
        <w:rPr>
          <w:noProof/>
          <w:lang w:eastAsia="hu-HU"/>
        </w:rPr>
        <w:sectPr w:rsidR="00795A46" w:rsidSect="00073673">
          <w:footerReference w:type="default" r:id="rId43"/>
          <w:pgSz w:w="11906" w:h="16838"/>
          <w:pgMar w:top="1417" w:right="1417" w:bottom="1417" w:left="1417" w:header="708" w:footer="708" w:gutter="0"/>
          <w:pgNumType w:start="1"/>
          <w:cols w:space="708"/>
          <w:rtlGutter/>
        </w:sect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noProof/>
          <w:lang w:eastAsia="hu-HU"/>
        </w:rPr>
        <w:drawing>
          <wp:inline distT="0" distB="0" distL="0" distR="0" wp14:anchorId="26F5CD6A" wp14:editId="3ED61D85">
            <wp:extent cx="3057525" cy="3248025"/>
            <wp:effectExtent l="0" t="0" r="9525" b="9525"/>
            <wp:docPr id="27" name="Diagram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noProof/>
          <w:lang w:eastAsia="hu-HU"/>
        </w:rPr>
        <w:drawing>
          <wp:inline distT="0" distB="0" distL="0" distR="0" wp14:anchorId="37375221" wp14:editId="60569B85">
            <wp:extent cx="2552700" cy="3181350"/>
            <wp:effectExtent l="0" t="0" r="0" b="0"/>
            <wp:docPr id="26" name="Diagram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95A46" w:rsidRDefault="00795A46" w:rsidP="00795A46">
      <w:pPr>
        <w:suppressAutoHyphens w:val="0"/>
        <w:jc w:val="left"/>
        <w:rPr>
          <w:rFonts w:ascii="Times New Roman" w:hAnsi="Times New Roman"/>
        </w:rPr>
        <w:sectPr w:rsidR="00795A46">
          <w:type w:val="continuous"/>
          <w:pgSz w:w="11906" w:h="16838"/>
          <w:pgMar w:top="1417" w:right="1417" w:bottom="1417" w:left="1417" w:header="708" w:footer="708" w:gutter="0"/>
          <w:cols w:num="2" w:space="708" w:equalWidth="0">
            <w:col w:w="4182" w:space="708"/>
            <w:col w:w="4182"/>
          </w:cols>
        </w:sect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A város önkormányzati fenntartású óvodájának két feladatellátási helyén összesen 150 gyermek fogadására és nevelésére van lelhetőség. Az intézmény kapacitás-kihasználtsága évről évre emelkedik, már-már eléri a maximumot. Az egyes nevelési években indítható óvodai csoportok száma azonban állandó, mivel csupán a fenntartó önkormányzat önerejéből sem az intézményi infrastruktúra, sem a pedagógusállomány létszáma nem teszi lehetővé még egy óvodai csoport indítását.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highlight w:val="green"/>
        </w:rPr>
        <w:t>4.4.4. számú táblázat - Általános iskolák adatai: osztályok, gyógypedagógiai osztályok, feladatellátási helyek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tbl>
      <w:tblPr>
        <w:tblW w:w="9135" w:type="dxa"/>
        <w:tblInd w:w="2" w:type="dxa"/>
        <w:tblLayout w:type="fixed"/>
        <w:tblCellMar>
          <w:left w:w="70" w:type="dxa"/>
          <w:right w:w="70" w:type="dxa"/>
        </w:tblCellMar>
        <w:tblLook w:val="00A0" w:firstRow="1" w:lastRow="0" w:firstColumn="1" w:lastColumn="0" w:noHBand="0" w:noVBand="0"/>
      </w:tblPr>
      <w:tblGrid>
        <w:gridCol w:w="1438"/>
        <w:gridCol w:w="1439"/>
        <w:gridCol w:w="1566"/>
        <w:gridCol w:w="1734"/>
        <w:gridCol w:w="1557"/>
        <w:gridCol w:w="1401"/>
      </w:tblGrid>
      <w:tr w:rsidR="00795A46" w:rsidTr="00795A46">
        <w:trPr>
          <w:trHeight w:val="2875"/>
        </w:trPr>
        <w:tc>
          <w:tcPr>
            <w:tcW w:w="1440" w:type="dxa"/>
            <w:vMerge w:val="restart"/>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jc w:val="center"/>
              <w:rPr>
                <w:rFonts w:cs="Calibri"/>
                <w:b/>
                <w:bCs/>
                <w:lang w:eastAsia="hu-HU"/>
              </w:rPr>
            </w:pPr>
            <w:r>
              <w:rPr>
                <w:b/>
                <w:bCs/>
                <w:lang w:eastAsia="hu-HU"/>
              </w:rPr>
              <w:t>Tanév</w:t>
            </w:r>
          </w:p>
        </w:tc>
        <w:tc>
          <w:tcPr>
            <w:tcW w:w="144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Az általános iskolai osztályok száma a gyógypedagógiai oktatásban (a nappali oktatásban) </w:t>
            </w:r>
            <w:r>
              <w:rPr>
                <w:lang w:eastAsia="hu-HU"/>
              </w:rPr>
              <w:t>(TS 080)</w:t>
            </w:r>
          </w:p>
        </w:tc>
        <w:tc>
          <w:tcPr>
            <w:tcW w:w="1567"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Az általános iskolai osztályok száma (a gyógypedagógiai oktatással együtt)</w:t>
            </w:r>
            <w:r>
              <w:rPr>
                <w:b/>
                <w:bCs/>
                <w:lang w:eastAsia="hu-HU"/>
              </w:rPr>
              <w:br/>
            </w:r>
            <w:r>
              <w:rPr>
                <w:lang w:eastAsia="hu-HU"/>
              </w:rPr>
              <w:t>(TS 081)</w:t>
            </w:r>
          </w:p>
        </w:tc>
        <w:tc>
          <w:tcPr>
            <w:tcW w:w="1735"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Általános iskolai feladat-ellátási helyek száma (gyógypedagógiai oktatással együtt)</w:t>
            </w:r>
            <w:r>
              <w:rPr>
                <w:b/>
                <w:bCs/>
                <w:lang w:eastAsia="hu-HU"/>
              </w:rPr>
              <w:br/>
            </w:r>
            <w:r>
              <w:rPr>
                <w:lang w:eastAsia="hu-HU"/>
              </w:rPr>
              <w:t>(TS 079)</w:t>
            </w:r>
          </w:p>
        </w:tc>
        <w:tc>
          <w:tcPr>
            <w:tcW w:w="1558"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 xml:space="preserve">Egy általános iskolai </w:t>
            </w:r>
            <w:r>
              <w:rPr>
                <w:b/>
                <w:bCs/>
                <w:color w:val="000000"/>
                <w:lang w:eastAsia="hu-HU"/>
              </w:rPr>
              <w:br/>
              <w:t xml:space="preserve">osztályra jutó tanulók </w:t>
            </w:r>
            <w:r>
              <w:rPr>
                <w:b/>
                <w:bCs/>
                <w:color w:val="000000"/>
                <w:lang w:eastAsia="hu-HU"/>
              </w:rPr>
              <w:br/>
              <w:t xml:space="preserve">száma a nappali oktatásban </w:t>
            </w:r>
            <w:r>
              <w:rPr>
                <w:b/>
                <w:bCs/>
                <w:color w:val="000000"/>
                <w:lang w:eastAsia="hu-HU"/>
              </w:rPr>
              <w:br/>
              <w:t>(gyógypedagógiai oktatással együtt)</w:t>
            </w:r>
            <w:r>
              <w:rPr>
                <w:b/>
                <w:bCs/>
                <w:i/>
                <w:iCs/>
                <w:color w:val="000000"/>
                <w:lang w:eastAsia="hu-HU"/>
              </w:rPr>
              <w:t xml:space="preserve"> </w:t>
            </w:r>
            <w:r>
              <w:rPr>
                <w:color w:val="000000"/>
                <w:lang w:eastAsia="hu-HU"/>
              </w:rPr>
              <w:t>(TS 082)</w:t>
            </w:r>
          </w:p>
        </w:tc>
        <w:tc>
          <w:tcPr>
            <w:tcW w:w="1402"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Más településről bejáró általános iskolai tanulók aránya a nappali oktatásban </w:t>
            </w:r>
            <w:r>
              <w:rPr>
                <w:lang w:eastAsia="hu-HU"/>
              </w:rPr>
              <w:t>(TS 084)</w:t>
            </w:r>
          </w:p>
        </w:tc>
      </w:tr>
      <w:tr w:rsidR="00795A46" w:rsidTr="00795A46">
        <w:trPr>
          <w:trHeight w:val="437"/>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1440"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db</w:t>
            </w:r>
          </w:p>
        </w:tc>
        <w:tc>
          <w:tcPr>
            <w:tcW w:w="1567"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db</w:t>
            </w:r>
          </w:p>
        </w:tc>
        <w:tc>
          <w:tcPr>
            <w:tcW w:w="1735"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db</w:t>
            </w:r>
          </w:p>
        </w:tc>
        <w:tc>
          <w:tcPr>
            <w:tcW w:w="1558"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fő</w:t>
            </w:r>
          </w:p>
        </w:tc>
        <w:tc>
          <w:tcPr>
            <w:tcW w:w="1402"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w:t>
            </w:r>
          </w:p>
        </w:tc>
      </w:tr>
      <w:tr w:rsidR="00795A46" w:rsidTr="00795A46">
        <w:trPr>
          <w:trHeight w:val="350"/>
        </w:trPr>
        <w:tc>
          <w:tcPr>
            <w:tcW w:w="14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2014/2015</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56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16</w:t>
            </w:r>
          </w:p>
        </w:tc>
        <w:tc>
          <w:tcPr>
            <w:tcW w:w="173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1558"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w:t>
            </w:r>
          </w:p>
        </w:tc>
        <w:tc>
          <w:tcPr>
            <w:tcW w:w="140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1,00%</w:t>
            </w:r>
          </w:p>
        </w:tc>
      </w:tr>
      <w:tr w:rsidR="00795A46" w:rsidTr="00795A46">
        <w:trPr>
          <w:trHeight w:val="346"/>
        </w:trPr>
        <w:tc>
          <w:tcPr>
            <w:tcW w:w="14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2015/2016</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56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16</w:t>
            </w:r>
          </w:p>
        </w:tc>
        <w:tc>
          <w:tcPr>
            <w:tcW w:w="173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1558"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17</w:t>
            </w:r>
          </w:p>
        </w:tc>
        <w:tc>
          <w:tcPr>
            <w:tcW w:w="140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1,00%</w:t>
            </w:r>
          </w:p>
        </w:tc>
      </w:tr>
      <w:tr w:rsidR="00795A46" w:rsidTr="00795A46">
        <w:trPr>
          <w:trHeight w:val="342"/>
        </w:trPr>
        <w:tc>
          <w:tcPr>
            <w:tcW w:w="14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2016/2017</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56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16</w:t>
            </w:r>
          </w:p>
        </w:tc>
        <w:tc>
          <w:tcPr>
            <w:tcW w:w="173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1558"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16</w:t>
            </w:r>
          </w:p>
        </w:tc>
        <w:tc>
          <w:tcPr>
            <w:tcW w:w="140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1,00%</w:t>
            </w:r>
          </w:p>
        </w:tc>
      </w:tr>
      <w:tr w:rsidR="00795A46" w:rsidTr="00795A46">
        <w:trPr>
          <w:trHeight w:val="366"/>
        </w:trPr>
        <w:tc>
          <w:tcPr>
            <w:tcW w:w="14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2017/2018</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56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15</w:t>
            </w:r>
          </w:p>
        </w:tc>
        <w:tc>
          <w:tcPr>
            <w:tcW w:w="173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1558"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17</w:t>
            </w:r>
          </w:p>
        </w:tc>
        <w:tc>
          <w:tcPr>
            <w:tcW w:w="140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2,00%</w:t>
            </w:r>
          </w:p>
        </w:tc>
      </w:tr>
      <w:tr w:rsidR="00795A46" w:rsidTr="00795A46">
        <w:trPr>
          <w:trHeight w:val="359"/>
        </w:trPr>
        <w:tc>
          <w:tcPr>
            <w:tcW w:w="14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2018/2019</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56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14</w:t>
            </w:r>
          </w:p>
        </w:tc>
        <w:tc>
          <w:tcPr>
            <w:tcW w:w="173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1558"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w:t>
            </w:r>
          </w:p>
        </w:tc>
        <w:tc>
          <w:tcPr>
            <w:tcW w:w="140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1,00%</w:t>
            </w:r>
          </w:p>
        </w:tc>
      </w:tr>
      <w:tr w:rsidR="00795A46" w:rsidTr="00795A46">
        <w:trPr>
          <w:trHeight w:val="335"/>
        </w:trPr>
        <w:tc>
          <w:tcPr>
            <w:tcW w:w="14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2019/2020</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56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14</w:t>
            </w:r>
          </w:p>
        </w:tc>
        <w:tc>
          <w:tcPr>
            <w:tcW w:w="173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1558"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w:t>
            </w:r>
          </w:p>
        </w:tc>
        <w:tc>
          <w:tcPr>
            <w:tcW w:w="140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Forrás: TeIR, KSH Tstar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noProof/>
          <w:lang w:eastAsia="hu-HU"/>
        </w:rPr>
        <w:drawing>
          <wp:inline distT="0" distB="0" distL="0" distR="0" wp14:anchorId="75992DDB" wp14:editId="10812405">
            <wp:extent cx="3552825" cy="4324350"/>
            <wp:effectExtent l="0" t="0" r="9525" b="0"/>
            <wp:docPr id="25" name="Diagram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color w:val="000000"/>
          <w:sz w:val="24"/>
        </w:rPr>
      </w:pPr>
      <w:r>
        <w:rPr>
          <w:rFonts w:ascii="Times New Roman" w:hAnsi="Times New Roman"/>
          <w:color w:val="000000"/>
          <w:sz w:val="24"/>
        </w:rPr>
        <w:t>A Csorváson működő általános iskola tanulóinak száma folyamatosan csökken, de a két feladatellátási helyen el tudja látni a tanulók oktatását. Sajnos az egyes tanévekben indított osztályok száma is csökkenő tendenciát mutat, de legalább a jogszabályban meghatározott létszámú, évfolyamonként párhuzamos osztályok kialakíthatóak (a 6. és a 7. évfolyamok kivételével, ahol a tanulók létszáma 23-22 fő évfolyamonként, így csak egy osztály volt indítható).</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highlight w:val="green"/>
        </w:rPr>
        <w:t>4.4.5. számú táblázat - A 8. évfolyamot eredményesen befejezők a nappali oktatásban</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9180" w:type="dxa"/>
        <w:tblInd w:w="2" w:type="dxa"/>
        <w:tblCellMar>
          <w:left w:w="70" w:type="dxa"/>
          <w:right w:w="70" w:type="dxa"/>
        </w:tblCellMar>
        <w:tblLook w:val="00A0" w:firstRow="1" w:lastRow="0" w:firstColumn="1" w:lastColumn="0" w:noHBand="0" w:noVBand="0"/>
      </w:tblPr>
      <w:tblGrid>
        <w:gridCol w:w="1620"/>
        <w:gridCol w:w="7560"/>
      </w:tblGrid>
      <w:tr w:rsidR="00795A46" w:rsidTr="00795A46">
        <w:trPr>
          <w:trHeight w:val="462"/>
        </w:trPr>
        <w:tc>
          <w:tcPr>
            <w:tcW w:w="1620" w:type="dxa"/>
            <w:vMerge w:val="restart"/>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jc w:val="center"/>
              <w:rPr>
                <w:rFonts w:cs="Calibri"/>
                <w:b/>
                <w:bCs/>
                <w:szCs w:val="22"/>
                <w:lang w:eastAsia="hu-HU"/>
              </w:rPr>
            </w:pPr>
            <w:r>
              <w:rPr>
                <w:b/>
                <w:bCs/>
                <w:lang w:eastAsia="hu-HU"/>
              </w:rPr>
              <w:t>Tanév</w:t>
            </w:r>
          </w:p>
        </w:tc>
        <w:tc>
          <w:tcPr>
            <w:tcW w:w="756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A 8. évfolyamot eredményesen befejezte a nappali oktatásban </w:t>
            </w:r>
            <w:r>
              <w:rPr>
                <w:lang w:eastAsia="hu-HU"/>
              </w:rPr>
              <w:t>(TS 083)</w:t>
            </w:r>
          </w:p>
        </w:tc>
      </w:tr>
      <w:tr w:rsidR="00795A46" w:rsidTr="00795A46">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756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r>
      <w:tr w:rsidR="00795A46" w:rsidTr="00795A46">
        <w:trPr>
          <w:trHeight w:val="401"/>
        </w:trPr>
        <w:tc>
          <w:tcPr>
            <w:tcW w:w="16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2014/2015</w:t>
            </w:r>
          </w:p>
        </w:tc>
        <w:tc>
          <w:tcPr>
            <w:tcW w:w="7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34</w:t>
            </w:r>
          </w:p>
        </w:tc>
      </w:tr>
      <w:tr w:rsidR="00795A46" w:rsidTr="00795A46">
        <w:trPr>
          <w:trHeight w:val="422"/>
        </w:trPr>
        <w:tc>
          <w:tcPr>
            <w:tcW w:w="16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2015/2016</w:t>
            </w:r>
          </w:p>
        </w:tc>
        <w:tc>
          <w:tcPr>
            <w:tcW w:w="7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42</w:t>
            </w:r>
          </w:p>
        </w:tc>
      </w:tr>
      <w:tr w:rsidR="00795A46" w:rsidTr="00795A46">
        <w:trPr>
          <w:trHeight w:val="413"/>
        </w:trPr>
        <w:tc>
          <w:tcPr>
            <w:tcW w:w="16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2016/2017</w:t>
            </w:r>
          </w:p>
        </w:tc>
        <w:tc>
          <w:tcPr>
            <w:tcW w:w="7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41</w:t>
            </w:r>
          </w:p>
        </w:tc>
      </w:tr>
      <w:tr w:rsidR="00795A46" w:rsidTr="00795A46">
        <w:trPr>
          <w:trHeight w:val="419"/>
        </w:trPr>
        <w:tc>
          <w:tcPr>
            <w:tcW w:w="16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2017/2018</w:t>
            </w:r>
          </w:p>
        </w:tc>
        <w:tc>
          <w:tcPr>
            <w:tcW w:w="7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38</w:t>
            </w:r>
          </w:p>
        </w:tc>
      </w:tr>
      <w:tr w:rsidR="00795A46" w:rsidTr="00795A46">
        <w:trPr>
          <w:trHeight w:val="410"/>
        </w:trPr>
        <w:tc>
          <w:tcPr>
            <w:tcW w:w="16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2018/2019</w:t>
            </w:r>
          </w:p>
        </w:tc>
        <w:tc>
          <w:tcPr>
            <w:tcW w:w="7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33</w:t>
            </w:r>
          </w:p>
        </w:tc>
      </w:tr>
      <w:tr w:rsidR="00795A46" w:rsidTr="00795A46">
        <w:trPr>
          <w:trHeight w:val="417"/>
        </w:trPr>
        <w:tc>
          <w:tcPr>
            <w:tcW w:w="16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2019/2020</w:t>
            </w:r>
          </w:p>
        </w:tc>
        <w:tc>
          <w:tcPr>
            <w:tcW w:w="7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32</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Forrás: TeIR, KSH Tstar, intézményfenntartói adatok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noProof/>
          <w:lang w:eastAsia="hu-HU"/>
        </w:rPr>
        <w:drawing>
          <wp:inline distT="0" distB="0" distL="0" distR="0" wp14:anchorId="454F983A" wp14:editId="198FBCB1">
            <wp:extent cx="3971925" cy="2590800"/>
            <wp:effectExtent l="0" t="0" r="9525" b="0"/>
            <wp:docPr id="24" name="Kép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rrowheads="1"/>
                    </pic:cNvPicPr>
                  </pic:nvPicPr>
                  <pic:blipFill>
                    <a:blip r:embed="rId47">
                      <a:extLst>
                        <a:ext uri="{28A0092B-C50C-407E-A947-70E740481C1C}">
                          <a14:useLocalDpi xmlns:a14="http://schemas.microsoft.com/office/drawing/2010/main" val="0"/>
                        </a:ext>
                      </a:extLst>
                    </a:blip>
                    <a:srcRect b="-24"/>
                    <a:stretch>
                      <a:fillRect/>
                    </a:stretch>
                  </pic:blipFill>
                  <pic:spPr bwMode="auto">
                    <a:xfrm>
                      <a:off x="0" y="0"/>
                      <a:ext cx="3971925" cy="2590800"/>
                    </a:xfrm>
                    <a:prstGeom prst="rect">
                      <a:avLst/>
                    </a:prstGeom>
                    <a:noFill/>
                    <a:ln>
                      <a:noFill/>
                    </a:ln>
                  </pic:spPr>
                </pic:pic>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Az általános iskola nyolcadik évfolyamát sikeresen elvégzők száma évről évre csökken. Nemcsak a gyermekszám-csökkenés, hanem az elköltözések száma is hatással van erre a mutatóra. Az utóbbi években azonban a születések száma örömteli módon növekedésnek indult, ez remélhetőleg legkésőbb egy évtized múlva megmutatkozik az általános iskolából elballagók számában is. Az általános iskola infrastruktúra-fejlesztéseit áttekintve már előrelátó módon készül erre, hiszen az iskolaépületek megújítására törekszik, korszerűsítenek, tetőcserepet cseréltek az ingatanon.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Egy kiemelten fontos fejleszteni való maradt, amely bár nem az általános iskola szakmai része, de az épületegyüttesében helyezkedik el, és szervese kapcsolódik annak napi feladataihoz: a menzaépület teljes átalakítása, felújítása, bővítése, energetikai korszerűsítése nyílászáró-cserékkel, modern főzőeszközökkel és gépekkel való felszerelése annak érdekében, hogy hatékonyabban szolgálhassa ki a város iskolásait is.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numPr>
          <w:ilvl w:val="0"/>
          <w:numId w:val="20"/>
        </w:numPr>
        <w:autoSpaceDE w:val="0"/>
        <w:spacing w:after="20"/>
        <w:rPr>
          <w:rFonts w:ascii="Times New Roman" w:hAnsi="Times New Roman"/>
          <w:b/>
          <w:bCs/>
          <w:sz w:val="24"/>
        </w:rPr>
      </w:pPr>
      <w:r>
        <w:rPr>
          <w:rFonts w:ascii="Times New Roman" w:hAnsi="Times New Roman"/>
          <w:b/>
          <w:bCs/>
          <w:sz w:val="24"/>
        </w:rPr>
        <w:t xml:space="preserve"> hátrányos megkülönböztetés és jogellenes elkülönítés az oktatás, képzés területén, az intézmények között és az egyes intézményeken belüli szegregációs jelenségek</w:t>
      </w:r>
    </w:p>
    <w:p w:rsidR="00795A46" w:rsidRDefault="00795A46" w:rsidP="00795A46">
      <w:pPr>
        <w:pStyle w:val="NormlCalibri11"/>
        <w:pBdr>
          <w:top w:val="none" w:sz="0" w:space="0" w:color="auto"/>
          <w:left w:val="none" w:sz="0" w:space="0" w:color="auto"/>
          <w:bottom w:val="none" w:sz="0" w:space="0" w:color="auto"/>
          <w:right w:val="none" w:sz="0" w:space="0" w:color="auto"/>
        </w:pBdr>
        <w:ind w:left="142"/>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ind w:left="142"/>
        <w:rPr>
          <w:rFonts w:ascii="Times New Roman" w:hAnsi="Times New Roman"/>
        </w:rPr>
      </w:pPr>
    </w:p>
    <w:p w:rsidR="00795A46" w:rsidRDefault="00795A46" w:rsidP="00795A46">
      <w:pPr>
        <w:ind w:firstLine="426"/>
        <w:rPr>
          <w:rFonts w:ascii="Times New Roman" w:hAnsi="Times New Roman"/>
          <w:sz w:val="24"/>
        </w:rPr>
      </w:pPr>
      <w:r>
        <w:rPr>
          <w:rFonts w:ascii="Times New Roman" w:hAnsi="Times New Roman"/>
          <w:sz w:val="24"/>
        </w:rPr>
        <w:t>Városunkban csak egy általános iskola működik, így intézmények közötti szegregációról nem is beszélhetünk. Az intézményen belül pedig figyelünk, hogy a hátrányos, illetve halmozottan hátrányos gyermekek aránya az osztályokon belül aránylag egyforma maradjon. Az egyes évfolyamokon belül természetesen lehet eltérés, amin nem lehet változtatni. Ez az iskolába érkezők éppen aktuális családi hátterétől függ. A roma kisebbség tagjai nem jelentenek problémát sem iskolai, sem városi szinten, hiszen személyüket illetően elfogadott és elismert tagjai a települési közösségünknek, így az etnikumhoz való tartozásuk nem lehet a szegregációjuk alapja, ennek a kérdése fel sem merülhet nálunk. Tanulási, magatartási gondok sem jellemzőbbek körükben, mint általánosságban a település gyermekes családjai vagy a város hátrányos helyzetű családjai körében. Ilyen jelenségeket nem tapasztaltunk és nem is tartunk nyilván.</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numPr>
          <w:ilvl w:val="0"/>
          <w:numId w:val="20"/>
        </w:numPr>
        <w:autoSpaceDE w:val="0"/>
        <w:spacing w:after="20"/>
        <w:rPr>
          <w:rFonts w:ascii="Times New Roman" w:hAnsi="Times New Roman"/>
          <w:sz w:val="24"/>
        </w:rPr>
      </w:pPr>
      <w:r>
        <w:rPr>
          <w:rFonts w:ascii="Times New Roman" w:hAnsi="Times New Roman"/>
          <w:b/>
          <w:bCs/>
          <w:sz w:val="24"/>
        </w:rPr>
        <w:t>az intézmények között a tanulók iskolai eredményességében, az oktatás hatékonyságában mutatkozó eltérések</w:t>
      </w:r>
      <w:r>
        <w:rPr>
          <w:rFonts w:ascii="Times New Roman" w:hAnsi="Times New Roman"/>
          <w:sz w:val="24"/>
        </w:rPr>
        <w:tab/>
      </w: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ind w:firstLine="426"/>
        <w:rPr>
          <w:rFonts w:ascii="Times New Roman" w:hAnsi="Times New Roman"/>
          <w:sz w:val="24"/>
        </w:rPr>
      </w:pPr>
      <w:r>
        <w:t>Csorváson egy oktatási intézmény keretei között működik általános iskola, így ennek a kérdésnek a megválaszolása Csorvás városa esetében nem releváns.</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numPr>
          <w:ilvl w:val="0"/>
          <w:numId w:val="21"/>
        </w:numPr>
        <w:autoSpaceDE w:val="0"/>
        <w:spacing w:after="20"/>
        <w:rPr>
          <w:rFonts w:ascii="Times New Roman" w:hAnsi="Times New Roman"/>
          <w:b/>
          <w:bCs/>
          <w:sz w:val="24"/>
        </w:rPr>
      </w:pPr>
      <w:r>
        <w:rPr>
          <w:rFonts w:ascii="Times New Roman" w:hAnsi="Times New Roman"/>
          <w:b/>
          <w:bCs/>
          <w:sz w:val="24"/>
        </w:rPr>
        <w:t>előnyben részesítés, hátránykompenzáló juttatások, szolgáltatások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ind w:firstLine="567"/>
        <w:rPr>
          <w:rFonts w:ascii="Times New Roman" w:hAnsi="Times New Roman"/>
          <w:sz w:val="24"/>
        </w:rPr>
      </w:pPr>
      <w:r>
        <w:rPr>
          <w:rFonts w:ascii="Times New Roman" w:hAnsi="Times New Roman"/>
          <w:sz w:val="24"/>
        </w:rPr>
        <w:t>Az első osztályosok beiratkozásakor, az ő osztályba sorolásuknál a jogszabály és az iskola SZMSZ-e szerint az egyik fontos szempont a gyermek hátrányos helyzetének figyelembevétele, és ennek megfelelően a hátrányos vagy halmozottan hátrányos helyzetű tanulók szabályozott feltételek szerinti egyenlő elosztása az osztályközösségekben.</w:t>
      </w:r>
    </w:p>
    <w:p w:rsidR="00795A46" w:rsidRDefault="00795A46" w:rsidP="00795A46">
      <w:pPr>
        <w:rPr>
          <w:rFonts w:ascii="Times New Roman" w:hAnsi="Times New Roman"/>
          <w:sz w:val="24"/>
        </w:rPr>
      </w:pPr>
      <w:r>
        <w:rPr>
          <w:rFonts w:ascii="Times New Roman" w:hAnsi="Times New Roman"/>
          <w:sz w:val="24"/>
        </w:rPr>
        <w:t>Az iskola megadja a hátrányos helyzetű tanulóknak a szabályozásokban megkövetelt megsegítést, ilynek például, hogy ezek a tanulók a művészeti iskolában tandíjkedvezményt, illetve tandíjmentességet élveznek. Az iskola igyekszik bevonni őket a tehetségsegítő programjaiba is.</w:t>
      </w:r>
    </w:p>
    <w:p w:rsidR="00795A46" w:rsidRDefault="00795A46" w:rsidP="00795A46">
      <w:pPr>
        <w:rPr>
          <w:rFonts w:ascii="Times New Roman" w:hAnsi="Times New Roman"/>
          <w:sz w:val="24"/>
        </w:rPr>
      </w:pPr>
      <w:r>
        <w:rPr>
          <w:rFonts w:ascii="Times New Roman" w:hAnsi="Times New Roman"/>
          <w:sz w:val="24"/>
        </w:rPr>
        <w:t>Pozitív diszkriminációként mutatható ki egy tanulmányi ösztöndíj, mely a cigány kisebbséghez tartozó általános iskolás diákokat jó tanulmányi munkára ösztönzi, és segít nekik a továbbtanulásuk, érettségihez, szakmához jutásuk biztosításában.</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highlight w:val="green"/>
        </w:rPr>
        <w:t>4.4.6. számú táblázat - Gyermekjóléti, hátránykompenzáló szolgáltatások</w:t>
      </w:r>
    </w:p>
    <w:p w:rsidR="00795A46" w:rsidRDefault="00795A46" w:rsidP="00795A46">
      <w:pPr>
        <w:rPr>
          <w:rFonts w:ascii="Times New Roman" w:hAnsi="Times New Roman"/>
          <w:sz w:val="24"/>
        </w:rPr>
      </w:pPr>
    </w:p>
    <w:tbl>
      <w:tblPr>
        <w:tblW w:w="9000" w:type="dxa"/>
        <w:tblInd w:w="2" w:type="dxa"/>
        <w:tblCellMar>
          <w:left w:w="70" w:type="dxa"/>
          <w:right w:w="70" w:type="dxa"/>
        </w:tblCellMar>
        <w:tblLook w:val="00A0" w:firstRow="1" w:lastRow="0" w:firstColumn="1" w:lastColumn="0" w:noHBand="0" w:noVBand="0"/>
      </w:tblPr>
      <w:tblGrid>
        <w:gridCol w:w="960"/>
        <w:gridCol w:w="2180"/>
        <w:gridCol w:w="1800"/>
        <w:gridCol w:w="1980"/>
        <w:gridCol w:w="2080"/>
      </w:tblGrid>
      <w:tr w:rsidR="00795A46" w:rsidTr="00795A46">
        <w:trPr>
          <w:trHeight w:val="1377"/>
        </w:trPr>
        <w:tc>
          <w:tcPr>
            <w:tcW w:w="960" w:type="dxa"/>
            <w:vMerge w:val="restart"/>
            <w:tcBorders>
              <w:top w:val="single" w:sz="4" w:space="0" w:color="auto"/>
              <w:left w:val="single" w:sz="4" w:space="0" w:color="auto"/>
              <w:bottom w:val="single" w:sz="4" w:space="0" w:color="000000"/>
              <w:right w:val="single" w:sz="4" w:space="0" w:color="auto"/>
            </w:tcBorders>
            <w:shd w:val="clear" w:color="auto" w:fill="E2EFDA"/>
            <w:noWrap/>
            <w:vAlign w:val="center"/>
            <w:hideMark/>
          </w:tcPr>
          <w:p w:rsidR="00795A46" w:rsidRDefault="00795A46">
            <w:pPr>
              <w:suppressAutoHyphens w:val="0"/>
              <w:jc w:val="center"/>
              <w:rPr>
                <w:rFonts w:cs="Calibri"/>
                <w:b/>
                <w:bCs/>
                <w:szCs w:val="22"/>
                <w:lang w:eastAsia="hu-HU"/>
              </w:rPr>
            </w:pPr>
            <w:r>
              <w:rPr>
                <w:b/>
                <w:bCs/>
                <w:lang w:eastAsia="hu-HU"/>
              </w:rPr>
              <w:t>Év</w:t>
            </w:r>
          </w:p>
        </w:tc>
        <w:tc>
          <w:tcPr>
            <w:tcW w:w="218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Biztos kezdet gyerekházat rendszeresen igénybe vevő gyermekek száma</w:t>
            </w:r>
          </w:p>
        </w:tc>
        <w:tc>
          <w:tcPr>
            <w:tcW w:w="180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Tanoda szolgáltatást rendszeresen igénybe vevő gyermekek száma</w:t>
            </w:r>
          </w:p>
        </w:tc>
        <w:tc>
          <w:tcPr>
            <w:tcW w:w="198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Család- és gyermekjóléti szolgáltatást igénybe vevő kiskorúak száma</w:t>
            </w:r>
          </w:p>
        </w:tc>
        <w:tc>
          <w:tcPr>
            <w:tcW w:w="208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 xml:space="preserve">Szünidei étkeztetésben részesülő gyermekek száma </w:t>
            </w:r>
            <w:r>
              <w:rPr>
                <w:color w:val="000000"/>
                <w:lang w:eastAsia="hu-HU"/>
              </w:rPr>
              <w:t>(TS 112)</w:t>
            </w:r>
          </w:p>
        </w:tc>
      </w:tr>
      <w:tr w:rsidR="00795A46" w:rsidTr="00795A46">
        <w:trPr>
          <w:trHeight w:val="277"/>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jc w:val="left"/>
              <w:rPr>
                <w:b/>
                <w:bCs/>
                <w:szCs w:val="22"/>
                <w:lang w:eastAsia="hu-HU"/>
              </w:rPr>
            </w:pPr>
          </w:p>
        </w:tc>
        <w:tc>
          <w:tcPr>
            <w:tcW w:w="218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c>
          <w:tcPr>
            <w:tcW w:w="180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c>
          <w:tcPr>
            <w:tcW w:w="198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c>
          <w:tcPr>
            <w:tcW w:w="208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r>
      <w:tr w:rsidR="00795A46" w:rsidTr="00795A46">
        <w:trPr>
          <w:trHeight w:val="354"/>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218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0</w:t>
            </w:r>
          </w:p>
        </w:tc>
        <w:tc>
          <w:tcPr>
            <w:tcW w:w="180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0</w:t>
            </w:r>
          </w:p>
        </w:tc>
        <w:tc>
          <w:tcPr>
            <w:tcW w:w="198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53</w:t>
            </w:r>
          </w:p>
        </w:tc>
        <w:tc>
          <w:tcPr>
            <w:tcW w:w="2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n.a.</w:t>
            </w:r>
          </w:p>
        </w:tc>
      </w:tr>
      <w:tr w:rsidR="00795A46" w:rsidTr="00795A46">
        <w:trPr>
          <w:trHeight w:val="364"/>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218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0</w:t>
            </w:r>
          </w:p>
        </w:tc>
        <w:tc>
          <w:tcPr>
            <w:tcW w:w="180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0</w:t>
            </w:r>
          </w:p>
        </w:tc>
        <w:tc>
          <w:tcPr>
            <w:tcW w:w="198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49</w:t>
            </w:r>
          </w:p>
        </w:tc>
        <w:tc>
          <w:tcPr>
            <w:tcW w:w="2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58</w:t>
            </w:r>
          </w:p>
        </w:tc>
      </w:tr>
      <w:tr w:rsidR="00795A46" w:rsidTr="00795A46">
        <w:trPr>
          <w:trHeight w:val="346"/>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218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0</w:t>
            </w:r>
          </w:p>
        </w:tc>
        <w:tc>
          <w:tcPr>
            <w:tcW w:w="180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0</w:t>
            </w:r>
          </w:p>
        </w:tc>
        <w:tc>
          <w:tcPr>
            <w:tcW w:w="198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43</w:t>
            </w:r>
          </w:p>
        </w:tc>
        <w:tc>
          <w:tcPr>
            <w:tcW w:w="2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63</w:t>
            </w:r>
          </w:p>
        </w:tc>
      </w:tr>
      <w:tr w:rsidR="00795A46" w:rsidTr="00795A46">
        <w:trPr>
          <w:trHeight w:val="342"/>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218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0</w:t>
            </w:r>
          </w:p>
        </w:tc>
        <w:tc>
          <w:tcPr>
            <w:tcW w:w="180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0</w:t>
            </w:r>
          </w:p>
        </w:tc>
        <w:tc>
          <w:tcPr>
            <w:tcW w:w="198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46</w:t>
            </w:r>
          </w:p>
        </w:tc>
        <w:tc>
          <w:tcPr>
            <w:tcW w:w="2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64</w:t>
            </w:r>
          </w:p>
        </w:tc>
      </w:tr>
      <w:tr w:rsidR="00795A46" w:rsidTr="00795A46">
        <w:trPr>
          <w:trHeight w:val="338"/>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218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0</w:t>
            </w:r>
          </w:p>
        </w:tc>
        <w:tc>
          <w:tcPr>
            <w:tcW w:w="180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0</w:t>
            </w:r>
          </w:p>
        </w:tc>
        <w:tc>
          <w:tcPr>
            <w:tcW w:w="198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54</w:t>
            </w:r>
          </w:p>
        </w:tc>
        <w:tc>
          <w:tcPr>
            <w:tcW w:w="2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26</w:t>
            </w:r>
          </w:p>
        </w:tc>
      </w:tr>
      <w:tr w:rsidR="00795A46" w:rsidTr="00795A46">
        <w:trPr>
          <w:trHeight w:val="182"/>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218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0</w:t>
            </w:r>
          </w:p>
        </w:tc>
        <w:tc>
          <w:tcPr>
            <w:tcW w:w="180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0</w:t>
            </w:r>
          </w:p>
        </w:tc>
        <w:tc>
          <w:tcPr>
            <w:tcW w:w="198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54</w:t>
            </w:r>
          </w:p>
        </w:tc>
        <w:tc>
          <w:tcPr>
            <w:tcW w:w="2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25</w:t>
            </w:r>
          </w:p>
        </w:tc>
      </w:tr>
    </w:tbl>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Forrás: TeIR, KSH Tstar, Önkormányzati és intézményfenntartói adatok</w:t>
      </w:r>
    </w:p>
    <w:p w:rsidR="00795A46" w:rsidRDefault="00795A46" w:rsidP="00795A46">
      <w:pPr>
        <w:rPr>
          <w:rFonts w:ascii="Times New Roman" w:hAnsi="Times New Roman"/>
          <w:sz w:val="24"/>
        </w:rPr>
      </w:pPr>
    </w:p>
    <w:p w:rsidR="00795A46" w:rsidRDefault="00795A46" w:rsidP="00795A46">
      <w:pPr>
        <w:rPr>
          <w:rFonts w:cs="Calibri"/>
          <w:szCs w:val="22"/>
        </w:rPr>
      </w:pPr>
      <w:r>
        <w:rPr>
          <w:noProof/>
          <w:lang w:eastAsia="hu-HU"/>
        </w:rPr>
        <w:drawing>
          <wp:inline distT="0" distB="0" distL="0" distR="0" wp14:anchorId="3A46A10D" wp14:editId="429D45E4">
            <wp:extent cx="5734050" cy="3181350"/>
            <wp:effectExtent l="0" t="0" r="0" b="0"/>
            <wp:docPr id="23" name="Diagram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A fenti táblázat bemutatja azokat a szolgáltatásokat, amelyeket igénybe vehetnek a rászoruló gyermekek és családtagjaik. A családsegítő szolgálat kifejezetten gyermekjóléti szolgáltatásait igénybevevő kiskorúak táblázatunkban bemutatott években látható száma változatlan, őket a szolgálat az általuk rendszeresen gondozott gyermekek között tartja nyilván. Rajtuk kívül még évente átlagosan 23 gyermek egyedi ügyeit kezelik eseti jelleggel. </w:t>
      </w:r>
    </w:p>
    <w:p w:rsidR="00795A46" w:rsidRDefault="00795A46" w:rsidP="00795A46">
      <w:pPr>
        <w:rPr>
          <w:rFonts w:ascii="Times New Roman" w:hAnsi="Times New Roman"/>
          <w:sz w:val="24"/>
        </w:rPr>
      </w:pPr>
    </w:p>
    <w:p w:rsidR="00795A46" w:rsidRDefault="00795A46" w:rsidP="00795A46">
      <w:pPr>
        <w:ind w:firstLine="709"/>
        <w:rPr>
          <w:rFonts w:ascii="Times New Roman" w:hAnsi="Times New Roman"/>
          <w:sz w:val="24"/>
        </w:rPr>
      </w:pPr>
      <w:r>
        <w:rPr>
          <w:rFonts w:ascii="Times New Roman" w:hAnsi="Times New Roman"/>
          <w:sz w:val="24"/>
        </w:rPr>
        <w:t xml:space="preserve">Csorvás Város Önkormányzata évek óta csatlakozik a Bursa Hungarica Felsőoktatási Önkormányzati Ösztöndíjrendszerhez, mely az esélyteremtés érdekében a hátrányos helyzetű, szociálisan rászoruló fiatal felnőttek számára teszi elérhetőbbé a felsőoktatásban való részvételt. Csorvás Város Önkormányzatának Egészségügyi-, Szociális-, Oktatási-, Közművelődési- és Sport Bizottsága már sok-sok felsőoktatásban tanulmányait folytató, nappali tagozatos hallgató számára ítélt meg az egyes naptári években egymás után következő két tanulmányi félévre havi 10.000 Ft összegű, összesen 100.000 Ft összegű készpénztámogatást, melyet a felsőoktatási intézmény illetve a Békés Megyei Önkormányzat összesen havi 6.000 Ft-tal egészít ki, és ezek az összegek kerülnek folyósításra a tanuló bankszámlájára. Mivel a Bursa-rendszerben csak a szociális szempontok számítanak a támogatás odaítélésekor, így itt kifejezetten előnyben részesülnek a szociálisan rászoruló, hátrányos helyzetű fiatalok. </w:t>
      </w:r>
    </w:p>
    <w:p w:rsidR="00795A46" w:rsidRDefault="00795A46" w:rsidP="00795A46">
      <w:pPr>
        <w:rPr>
          <w:rFonts w:ascii="Times New Roman" w:hAnsi="Times New Roman"/>
          <w:sz w:val="24"/>
          <w:shd w:val="clear" w:color="auto" w:fill="00FF00"/>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sz w:val="24"/>
        </w:rPr>
        <w:t>4.5 Következtetések: problémák beazonosítása, fejlesztési lehetőségek meghatározása.</w:t>
      </w:r>
    </w:p>
    <w:p w:rsidR="00795A46" w:rsidRDefault="00795A46" w:rsidP="00795A46">
      <w:pPr>
        <w:autoSpaceDE w:val="0"/>
        <w:spacing w:after="20"/>
        <w:ind w:firstLine="142"/>
        <w:rPr>
          <w:rFonts w:ascii="Times New Roman" w:hAnsi="Times New Roman"/>
          <w:sz w:val="24"/>
        </w:rPr>
      </w:pPr>
    </w:p>
    <w:p w:rsidR="00795A46" w:rsidRDefault="00795A46" w:rsidP="00795A46">
      <w:pPr>
        <w:ind w:firstLine="567"/>
        <w:rPr>
          <w:rFonts w:ascii="Times New Roman" w:hAnsi="Times New Roman"/>
          <w:sz w:val="24"/>
        </w:rPr>
      </w:pPr>
      <w:r>
        <w:rPr>
          <w:rFonts w:ascii="Times New Roman" w:hAnsi="Times New Roman"/>
          <w:sz w:val="24"/>
        </w:rPr>
        <w:t xml:space="preserve">A gyermek- és ifjúságvédelem minden gyermekre kiterjedő gondoskodás, jogi, szociális, egészségügyi tennivalók összessége, amelyek a gyermekek gondozását, ellátását, eltartását, nevelését, érdekvédelmét hivatottak biztosítani. </w:t>
      </w:r>
    </w:p>
    <w:p w:rsidR="00795A46" w:rsidRDefault="00795A46" w:rsidP="00795A46">
      <w:pPr>
        <w:rPr>
          <w:rFonts w:ascii="Times New Roman" w:hAnsi="Times New Roman"/>
          <w:sz w:val="24"/>
        </w:rPr>
      </w:pPr>
      <w:r>
        <w:rPr>
          <w:rFonts w:ascii="Times New Roman" w:hAnsi="Times New Roman"/>
          <w:sz w:val="24"/>
        </w:rPr>
        <w:t>A gyermekvédelmi prevencióban a jelzőrendszer tagjainak van elsődleges szerepe. A gyermekjóléti szolgálat családgondozója, az iskola nevelőtestülete, az iskolai ifjúságvédelmi előadó, az óvodákban a gyermekvédelmi feladatokkal megbízott óvónő, a védőnők és a helyi rendőrök segítenek a problémás esetek felderítésében, jelezve, ha tudomásukra jut a gyermek veszélyeztetése. Az elmúlt években a jelzőrendszer jól látta el feladatát.</w:t>
      </w:r>
    </w:p>
    <w:p w:rsidR="00795A46" w:rsidRDefault="00795A46" w:rsidP="00795A46">
      <w:pPr>
        <w:rPr>
          <w:rFonts w:ascii="Times New Roman" w:hAnsi="Times New Roman"/>
          <w:sz w:val="24"/>
        </w:rPr>
      </w:pPr>
      <w:r>
        <w:rPr>
          <w:rFonts w:ascii="Times New Roman" w:hAnsi="Times New Roman"/>
          <w:sz w:val="24"/>
        </w:rPr>
        <w:t>A fiatalok – közülük is elsősorban a serdülőkorúak – különösen veszélyeztetettek az alkohol, a drog és a dohányzás káros egészségkárosító hatása miatt, ezért nagyon fontos a felvilágosítás, valamint a fiatalok szabadidejének hasznos eltöltése, figyelmük értékes programokkal történő lekötése.</w:t>
      </w:r>
    </w:p>
    <w:p w:rsidR="00795A46" w:rsidRDefault="00795A46" w:rsidP="00795A46">
      <w:pPr>
        <w:rPr>
          <w:rFonts w:ascii="Times New Roman" w:hAnsi="Times New Roman"/>
          <w:sz w:val="24"/>
        </w:rPr>
      </w:pPr>
      <w:r>
        <w:rPr>
          <w:rFonts w:ascii="Times New Roman" w:hAnsi="Times New Roman"/>
          <w:sz w:val="24"/>
        </w:rPr>
        <w:t xml:space="preserve">Hatóságunk látókörében sajnos vannak felelőtlen életmódot folytató családok. A Gyermekjóléti Szolgálat munkatársa és a Családsegítő Szolgálat kollégái is segítségünkre vannak a problémák megfelelő megoldásainak megtalálásában, a család gondozásában, az évek során jó kapcsolat alakult ki. </w:t>
      </w:r>
    </w:p>
    <w:p w:rsidR="00795A46" w:rsidRDefault="00795A46" w:rsidP="00795A46">
      <w:pPr>
        <w:rPr>
          <w:rFonts w:ascii="Times New Roman" w:hAnsi="Times New Roman"/>
          <w:sz w:val="24"/>
        </w:rPr>
      </w:pPr>
      <w:r>
        <w:rPr>
          <w:rFonts w:ascii="Times New Roman" w:hAnsi="Times New Roman"/>
          <w:sz w:val="24"/>
        </w:rPr>
        <w:t>A család életébe történő beavatkozásra azonban kizárólag a gyermek érdekében kerülhet sor. Pusztán anyagi okokból a gyermeket nem lehet családjától elszakítani, ezeknek a családoknak az önkormányzat anyagi lehetőségeihez mérten igyekszik segítséget nyújtani pénzbeli, természetbeni ellátások útján.</w:t>
      </w:r>
    </w:p>
    <w:p w:rsidR="00795A46" w:rsidRDefault="00795A46" w:rsidP="00795A46">
      <w:pPr>
        <w:rPr>
          <w:rFonts w:ascii="Times New Roman" w:hAnsi="Times New Roman"/>
          <w:sz w:val="24"/>
        </w:rPr>
      </w:pPr>
      <w:r>
        <w:rPr>
          <w:rFonts w:ascii="Times New Roman" w:hAnsi="Times New Roman"/>
          <w:sz w:val="24"/>
        </w:rPr>
        <w:t>A gyermekek iránti felelősség érvényesítése, a családi felelősség növelése közös célunk.</w:t>
      </w:r>
    </w:p>
    <w:p w:rsidR="00795A46" w:rsidRDefault="00795A46" w:rsidP="00795A46">
      <w:pPr>
        <w:rPr>
          <w:rFonts w:ascii="Times New Roman" w:hAnsi="Times New Roman"/>
          <w:sz w:val="24"/>
        </w:rPr>
      </w:pPr>
      <w:r>
        <w:rPr>
          <w:rFonts w:ascii="Times New Roman" w:hAnsi="Times New Roman"/>
          <w:sz w:val="24"/>
        </w:rPr>
        <w:t>Kiemelkedően fontos szerepe van a felvilágosításnak, és a gyermekek hasznos szabadidő eltöltésének, melyek elősegítése az önkormányzatnak és az iskolának egyaránt feladata kell, hogy legyen.</w:t>
      </w:r>
    </w:p>
    <w:p w:rsidR="00795A46" w:rsidRDefault="00795A46" w:rsidP="00795A46">
      <w:pPr>
        <w:rPr>
          <w:rFonts w:ascii="Times New Roman" w:hAnsi="Times New Roman"/>
          <w:sz w:val="24"/>
        </w:rPr>
      </w:pPr>
      <w:r>
        <w:rPr>
          <w:rFonts w:ascii="Times New Roman" w:hAnsi="Times New Roman"/>
          <w:sz w:val="24"/>
        </w:rPr>
        <w:t>Célunk, hogy városunkban a családi és iskolai kontroll erősítésével, a gyermekvédelemben tevékenykedők hathatós segítségével előzzük meg a veszélyeztetetté és veszélyeztetővé válást, annak érdekében, hogy a fiataljaink egészséges, értelmes, és értékes életet éljenek.</w:t>
      </w:r>
    </w:p>
    <w:p w:rsidR="00795A46" w:rsidRDefault="00795A46" w:rsidP="00795A46">
      <w:pPr>
        <w:rPr>
          <w:rFonts w:ascii="Times New Roman" w:hAnsi="Times New Roman"/>
          <w:sz w:val="24"/>
        </w:rPr>
      </w:pPr>
      <w:r>
        <w:rPr>
          <w:rFonts w:ascii="Times New Roman" w:hAnsi="Times New Roman"/>
          <w:sz w:val="24"/>
        </w:rPr>
        <w:t xml:space="preserve">Sajnos bizonyos „veszélyeztetett” családok esetében a szülőktől - magatartásuk, életvitelük okán - nem várható el a normakövető magatartás, ezért itt a gyermekvédelem különböző területein tevékenykedő munkatársak segítik a gyermekek helyes irányú fejlődését.  </w:t>
      </w:r>
    </w:p>
    <w:p w:rsidR="00795A46" w:rsidRDefault="00795A46" w:rsidP="00795A46">
      <w:pPr>
        <w:rPr>
          <w:rFonts w:ascii="Times New Roman" w:hAnsi="Times New Roman"/>
          <w:sz w:val="24"/>
        </w:rPr>
      </w:pPr>
      <w:r>
        <w:rPr>
          <w:rFonts w:ascii="Times New Roman" w:hAnsi="Times New Roman"/>
          <w:sz w:val="24"/>
        </w:rPr>
        <w:t>A városunkban élő roma családok egy része szeretettel, féltőn gondozza, neveli a gyermekeit. A körükben az anyagi veszélyeztetettség igen nagyfokú, mivel általában az iskolai végzettségük alacsony, ezért a munkaerő piacon nehezebben tudnak elhelyezkedni.</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Csorváson sajnos jelenleg nincs sem óvoda-, sem iskolapszichológus. Hosszú kimaradás után újra van utazó pszichológus, aki havi 4 órában a Családsegítő Szolgálat épületében próbálkozik azzal a lehetetlen feladattal, hogy a teljes település pszichológiai ellátását biztosítsa.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A szegénység és a hátrányos helyzet újratermelődése érdekében továbbra is indokoltnak látjuk felvilágosító órák tartását 7-8. évfolyamokon.</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A gyermekvállalás ösztönzése, a rendszeres gyermekvédelmi kedvezményben részesülők számának csökkentése és a gyermekek egészséges táplálkozásának biztosítása mindig megoldandó feladatunk. Bár ezek az intézkedések részben teljesültek, továbbra is folyamatos odafigyelést igényelnek. Jelenleg és a jövőben törekedni szeretnénk a fiatalok mentális egészségi állapotának karbantartására, illetve tudatos felnőtté válásukra való felkészítésükre is.</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rPr>
        <w:t xml:space="preserve">A védőnői szolgálattal kötött együttműködési megállapodás hatályban léte ellenére 2020-ban és 2021-ben sajnos nem valósult meg az általános iskolai szexuális felvilágosító órák megtartása. Ennek egyik oka lehet a covid járvány miatt bevezetett és fenntartott online oktatás.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9000" w:type="dxa"/>
        <w:tblInd w:w="2" w:type="dxa"/>
        <w:tblLayout w:type="fixed"/>
        <w:tblCellMar>
          <w:bottom w:w="85" w:type="dxa"/>
        </w:tblCellMar>
        <w:tblLook w:val="00A0" w:firstRow="1" w:lastRow="0" w:firstColumn="1" w:lastColumn="0" w:noHBand="0" w:noVBand="0"/>
      </w:tblPr>
      <w:tblGrid>
        <w:gridCol w:w="567"/>
        <w:gridCol w:w="4398"/>
        <w:gridCol w:w="4035"/>
      </w:tblGrid>
      <w:tr w:rsidR="00795A46" w:rsidTr="00795A46">
        <w:tc>
          <w:tcPr>
            <w:tcW w:w="567" w:type="dxa"/>
            <w:tcBorders>
              <w:top w:val="single" w:sz="4" w:space="0" w:color="000000"/>
              <w:left w:val="single" w:sz="4" w:space="0" w:color="000000"/>
              <w:bottom w:val="single" w:sz="4" w:space="0" w:color="000000"/>
              <w:right w:val="single" w:sz="4" w:space="0" w:color="000000"/>
            </w:tcBorders>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b/>
                <w:bCs/>
                <w:i/>
                <w:iCs/>
                <w:sz w:val="24"/>
              </w:rPr>
            </w:pPr>
            <w:bookmarkStart w:id="91" w:name="_Hlk522180845" w:colFirst="1" w:colLast="2"/>
          </w:p>
        </w:tc>
        <w:tc>
          <w:tcPr>
            <w:tcW w:w="8433" w:type="dxa"/>
            <w:gridSpan w:val="2"/>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b/>
                <w:bCs/>
                <w:i/>
                <w:iCs/>
                <w:sz w:val="24"/>
              </w:rPr>
            </w:pPr>
            <w:r>
              <w:rPr>
                <w:rFonts w:ascii="Times New Roman" w:hAnsi="Times New Roman"/>
                <w:b/>
                <w:bCs/>
                <w:i/>
                <w:iCs/>
                <w:sz w:val="24"/>
              </w:rPr>
              <w:t xml:space="preserve">A gyerekek helyzete, esélyegyenlősége </w:t>
            </w:r>
          </w:p>
        </w:tc>
      </w:tr>
      <w:tr w:rsidR="00795A46" w:rsidTr="00795A46">
        <w:tc>
          <w:tcPr>
            <w:tcW w:w="567" w:type="dxa"/>
            <w:tcBorders>
              <w:top w:val="single" w:sz="4" w:space="0" w:color="000000"/>
              <w:left w:val="single" w:sz="4" w:space="0" w:color="000000"/>
              <w:bottom w:val="single" w:sz="4" w:space="0" w:color="000000"/>
              <w:right w:val="nil"/>
            </w:tcBorders>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b/>
                <w:bCs/>
                <w:i/>
                <w:iCs/>
                <w:sz w:val="24"/>
              </w:rPr>
            </w:pPr>
          </w:p>
        </w:tc>
        <w:tc>
          <w:tcPr>
            <w:tcW w:w="439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b/>
                <w:bCs/>
                <w:i/>
                <w:iCs/>
                <w:sz w:val="24"/>
              </w:rPr>
            </w:pPr>
            <w:r>
              <w:rPr>
                <w:rFonts w:ascii="Times New Roman" w:hAnsi="Times New Roman"/>
                <w:b/>
                <w:bCs/>
                <w:i/>
                <w:iCs/>
                <w:sz w:val="24"/>
              </w:rPr>
              <w:t>beazonosított problémák</w:t>
            </w:r>
          </w:p>
        </w:tc>
        <w:tc>
          <w:tcPr>
            <w:tcW w:w="4035"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b/>
                <w:bCs/>
                <w:i/>
                <w:iCs/>
                <w:sz w:val="24"/>
              </w:rPr>
            </w:pPr>
            <w:r>
              <w:rPr>
                <w:rFonts w:ascii="Times New Roman" w:hAnsi="Times New Roman"/>
                <w:b/>
                <w:bCs/>
                <w:i/>
                <w:iCs/>
                <w:sz w:val="24"/>
              </w:rPr>
              <w:t>fejlesztési lehetőségek</w:t>
            </w:r>
          </w:p>
        </w:tc>
      </w:tr>
      <w:tr w:rsidR="00795A46" w:rsidTr="00795A46">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1.</w:t>
            </w:r>
          </w:p>
        </w:tc>
        <w:tc>
          <w:tcPr>
            <w:tcW w:w="439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Nincs állandó pszichológiai ellátás.</w:t>
            </w:r>
          </w:p>
        </w:tc>
        <w:tc>
          <w:tcPr>
            <w:tcW w:w="4035"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Álláshely finanszírozásához forrásteremtés.</w:t>
            </w:r>
          </w:p>
        </w:tc>
      </w:tr>
      <w:tr w:rsidR="00795A46" w:rsidTr="00795A46">
        <w:tc>
          <w:tcPr>
            <w:tcW w:w="567" w:type="dxa"/>
            <w:tcBorders>
              <w:top w:val="single" w:sz="4" w:space="0" w:color="000000"/>
              <w:left w:val="single" w:sz="4" w:space="0" w:color="000000"/>
              <w:bottom w:val="single" w:sz="4" w:space="0" w:color="000000"/>
              <w:right w:val="nil"/>
            </w:tcBorders>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p>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2.</w:t>
            </w:r>
          </w:p>
        </w:tc>
        <w:tc>
          <w:tcPr>
            <w:tcW w:w="439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Nincs változatos szünidei gyermekprogram és felügyelet.</w:t>
            </w:r>
          </w:p>
        </w:tc>
        <w:tc>
          <w:tcPr>
            <w:tcW w:w="4035"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Szünidei felügyelethez az anyagi forrás biztosítása.</w:t>
            </w:r>
          </w:p>
        </w:tc>
      </w:tr>
      <w:tr w:rsidR="00795A46" w:rsidTr="00795A46">
        <w:tc>
          <w:tcPr>
            <w:tcW w:w="567" w:type="dxa"/>
            <w:tcBorders>
              <w:top w:val="single" w:sz="4" w:space="0" w:color="000000"/>
              <w:left w:val="single" w:sz="4" w:space="0" w:color="000000"/>
              <w:bottom w:val="single" w:sz="4" w:space="0" w:color="000000"/>
              <w:right w:val="nil"/>
            </w:tcBorders>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p>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3.</w:t>
            </w:r>
          </w:p>
        </w:tc>
        <w:tc>
          <w:tcPr>
            <w:tcW w:w="439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A gyerekek tájékozatlanok szexuális téren, nincs egészséges jövőképük.</w:t>
            </w:r>
          </w:p>
        </w:tc>
        <w:tc>
          <w:tcPr>
            <w:tcW w:w="4035"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 xml:space="preserve">Felvilágosító, életmód-tanácsadó órák tartása </w:t>
            </w:r>
          </w:p>
        </w:tc>
      </w:tr>
      <w:tr w:rsidR="00795A46" w:rsidTr="00795A46">
        <w:tc>
          <w:tcPr>
            <w:tcW w:w="567" w:type="dxa"/>
            <w:tcBorders>
              <w:top w:val="single" w:sz="4" w:space="0" w:color="000000"/>
              <w:left w:val="single" w:sz="4" w:space="0" w:color="000000"/>
              <w:bottom w:val="single" w:sz="4" w:space="0" w:color="000000"/>
              <w:right w:val="nil"/>
            </w:tcBorders>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p>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p>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4.</w:t>
            </w:r>
          </w:p>
        </w:tc>
        <w:tc>
          <w:tcPr>
            <w:tcW w:w="439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A hátrányos helyzetű családok gyermekei szocializálatlanok, alultápláltak, elhanyagoltak</w:t>
            </w:r>
          </w:p>
        </w:tc>
        <w:tc>
          <w:tcPr>
            <w:tcW w:w="4035"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Biztos Kezdet Gyerekház létrehozása pályázati forrásból</w:t>
            </w:r>
          </w:p>
        </w:tc>
      </w:tr>
      <w:tr w:rsidR="00795A46" w:rsidTr="00795A46">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5.</w:t>
            </w:r>
          </w:p>
        </w:tc>
        <w:tc>
          <w:tcPr>
            <w:tcW w:w="439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Az óvodaépületek „megteltek”, nincs több kapacitás az óvodáskorúak kötelező befogadására</w:t>
            </w:r>
          </w:p>
        </w:tc>
        <w:tc>
          <w:tcPr>
            <w:tcW w:w="4035"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Az István király utcai feladatellátási helyen új csoportszoba és többfunkciós terem kialakítása vált szükségessé</w:t>
            </w:r>
          </w:p>
        </w:tc>
      </w:tr>
      <w:tr w:rsidR="00795A46" w:rsidTr="00795A46">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6.</w:t>
            </w:r>
          </w:p>
        </w:tc>
        <w:tc>
          <w:tcPr>
            <w:tcW w:w="439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A gyermekek hasznos szabadidő eltöltési lehetőségei korlátozottak a szabadban, biztonságos helyen</w:t>
            </w:r>
          </w:p>
        </w:tc>
        <w:tc>
          <w:tcPr>
            <w:tcW w:w="4035"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Bringaparkot, játszótereket, futópályát szeretnénk létrehozni a meglévő sportpálya mellett, valamint sportparkokat a település idegenforgalmilag fontos, de a gyermekeket nem veszélyeztető közterületein</w:t>
            </w:r>
          </w:p>
        </w:tc>
      </w:tr>
      <w:tr w:rsidR="00795A46" w:rsidTr="00795A46">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7.</w:t>
            </w:r>
          </w:p>
        </w:tc>
        <w:tc>
          <w:tcPr>
            <w:tcW w:w="4398" w:type="dxa"/>
            <w:tcBorders>
              <w:top w:val="single" w:sz="4" w:space="0" w:color="000000"/>
              <w:left w:val="single" w:sz="4" w:space="0" w:color="000000"/>
              <w:bottom w:val="single" w:sz="4" w:space="0" w:color="000000"/>
              <w:right w:val="nil"/>
            </w:tcBorders>
            <w:hideMark/>
          </w:tcPr>
          <w:p w:rsidR="00A4359D" w:rsidRPr="00A4359D" w:rsidRDefault="00A4359D">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color w:val="000000" w:themeColor="text1"/>
                <w:szCs w:val="22"/>
              </w:rPr>
            </w:pPr>
            <w:r w:rsidRPr="00A4359D">
              <w:rPr>
                <w:rFonts w:ascii="Times New Roman" w:hAnsi="Times New Roman"/>
                <w:color w:val="0070C0"/>
                <w:szCs w:val="22"/>
              </w:rPr>
              <w:t>A megnövekedett gyermeklétszám okán a közétkeztetést is végző napközi konyhára egyre nehezebb feladat hárul az előállítandó adagszámok növekedése miatt.</w:t>
            </w:r>
          </w:p>
        </w:tc>
        <w:tc>
          <w:tcPr>
            <w:tcW w:w="4035"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A Csorvás, István király utca 34. szám alatti napközi konyha főzőkonyhájának, kiszolgáló helyiségeinek és étkezdéjének belső felújítása, átalakítása, bővítése, gép és technológia beszerzése és utólagos energetikai korszerűsítése</w:t>
            </w:r>
          </w:p>
        </w:tc>
      </w:tr>
      <w:tr w:rsidR="00795A46" w:rsidTr="00795A46">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8.</w:t>
            </w:r>
          </w:p>
        </w:tc>
        <w:tc>
          <w:tcPr>
            <w:tcW w:w="439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A Művelődési ház és Könyvtár épülete elavult fűtésrendszerű, magas költséggel üzemeltethető</w:t>
            </w:r>
          </w:p>
        </w:tc>
        <w:tc>
          <w:tcPr>
            <w:tcW w:w="4035"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Az épület utólagos energetikai korszerűsítése, nyílászáróinak cseréje, ezzel a legfontosabb közösségi terünk fejlesztése valósul meg</w:t>
            </w:r>
          </w:p>
        </w:tc>
      </w:tr>
      <w:tr w:rsidR="00795A46" w:rsidTr="00795A46">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9.</w:t>
            </w:r>
          </w:p>
        </w:tc>
        <w:tc>
          <w:tcPr>
            <w:tcW w:w="439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A települési közvilágítás nem megfelelő az iskolaépületek és sportlétesítmények környékén, ez korlátozza a gyermekek biztonságos közlekedését az utcákon, közutakon</w:t>
            </w:r>
          </w:p>
        </w:tc>
        <w:tc>
          <w:tcPr>
            <w:tcW w:w="4035"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A települési közvilágítás lámpatestjeinek korszerűsítése fényerőnöveléssel és napelemes lámpák elhelyezése az iskolaépületek és sportlétesítmények környékén</w:t>
            </w:r>
          </w:p>
        </w:tc>
      </w:tr>
      <w:tr w:rsidR="00795A46" w:rsidTr="00795A46">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10.</w:t>
            </w:r>
          </w:p>
        </w:tc>
        <w:tc>
          <w:tcPr>
            <w:tcW w:w="439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A Forrás-tóként ismert népszerű kirándulóhelyünkhöz nem vezet burkolt út, a külterületi földút kátyús, poros, a faállománya meggyérült, elöregedett.</w:t>
            </w:r>
          </w:p>
        </w:tc>
        <w:tc>
          <w:tcPr>
            <w:tcW w:w="4035"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A Forrás-tó, mint osztálykirándulási célpont, táborhelyszín megközelíthetőségének javítása a Forrás-tóhoz vezető útburkolat kialakításával, a közterület fásítása.</w:t>
            </w:r>
          </w:p>
        </w:tc>
      </w:tr>
      <w:tr w:rsidR="00795A46" w:rsidTr="00795A46">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11.</w:t>
            </w:r>
          </w:p>
        </w:tc>
        <w:tc>
          <w:tcPr>
            <w:tcW w:w="439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A település járdarendszere több helyen elavult, elöregedett, közel 10.000 méteren pedig hiányzik. A babakocsik, a kerekesszékesek és a gyermekkerékpárok számára a régebben épített járdák kevéssé alkalmasak a közlekedésre.</w:t>
            </w:r>
          </w:p>
        </w:tc>
        <w:tc>
          <w:tcPr>
            <w:tcW w:w="4035"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A településen közel 10.000 méter járda építése, a meglévő sérült, veszélyes járdaszakaszok alkalmassá tétele a babakocsik és kerekesszékesek közlekedésére.</w:t>
            </w:r>
          </w:p>
        </w:tc>
      </w:tr>
      <w:tr w:rsidR="00795A46" w:rsidTr="00795A46">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12.</w:t>
            </w:r>
          </w:p>
        </w:tc>
        <w:tc>
          <w:tcPr>
            <w:tcW w:w="439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A település közbiztonsága különösen rendezvények után vagy a kihelyezett ünnepi dekorációk közelében nem minden esetben felel meg a kifogástalanság kritériumainak</w:t>
            </w:r>
          </w:p>
        </w:tc>
        <w:tc>
          <w:tcPr>
            <w:tcW w:w="4035"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 xml:space="preserve">A település közbiztonsága általában jónak mondható, azonban a kiskorúak védelmét szolgálja, ha a térfigyelő kamerarendszer jelenléte visszatartja a garázdaságtól a lehetséges bűnelkövetőket. A gyermekek számára a közterületekre kihelyezett ünnepi, alkalmi vagy tartós használatra szánt élményelemek védelme, és az azokkal játszó gyermekek védelme mellett a közterületen áthaladó idősekre, védelemre szoruló személyekre is gondolunk ezzel a fejlesztéssel. </w:t>
            </w:r>
          </w:p>
        </w:tc>
      </w:tr>
      <w:tr w:rsidR="00795A46" w:rsidTr="00795A46">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13.</w:t>
            </w:r>
          </w:p>
        </w:tc>
        <w:tc>
          <w:tcPr>
            <w:tcW w:w="439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Az általános iskolás korú gyermekek és a sportszakkörök lebonyolításának helyszíne a Csorvás, István király u. 21. szám alatti „Tornacsarnokként” ismert, valamint az Arany János u. 8. száma alatti „Kistornaterem” néven ismert épület. Mindkét épület korszerűsítésre és eszközfejlesztésre szorul.</w:t>
            </w:r>
          </w:p>
        </w:tc>
        <w:tc>
          <w:tcPr>
            <w:tcW w:w="4035"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 xml:space="preserve">A Tornacsarnok és a Kistornaterem teljes körű energetikai, közművesítettségi és szaktantermi eszközökkel való fejlesztése az oktatás színvonalának hatékony növelése érdekében. </w:t>
            </w:r>
          </w:p>
        </w:tc>
      </w:tr>
      <w:tr w:rsidR="00A4359D" w:rsidTr="00795A46">
        <w:tc>
          <w:tcPr>
            <w:tcW w:w="567" w:type="dxa"/>
            <w:tcBorders>
              <w:top w:val="single" w:sz="4" w:space="0" w:color="000000"/>
              <w:left w:val="single" w:sz="4" w:space="0" w:color="000000"/>
              <w:bottom w:val="single" w:sz="4" w:space="0" w:color="000000"/>
              <w:right w:val="nil"/>
            </w:tcBorders>
          </w:tcPr>
          <w:p w:rsidR="00A4359D" w:rsidRDefault="00A4359D">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sidRPr="00A4359D">
              <w:rPr>
                <w:rFonts w:ascii="Times New Roman" w:hAnsi="Times New Roman"/>
                <w:color w:val="0070C0"/>
                <w:sz w:val="24"/>
              </w:rPr>
              <w:t>14.</w:t>
            </w:r>
          </w:p>
        </w:tc>
        <w:tc>
          <w:tcPr>
            <w:tcW w:w="4398" w:type="dxa"/>
            <w:tcBorders>
              <w:top w:val="single" w:sz="4" w:space="0" w:color="000000"/>
              <w:left w:val="single" w:sz="4" w:space="0" w:color="000000"/>
              <w:bottom w:val="single" w:sz="4" w:space="0" w:color="000000"/>
              <w:right w:val="nil"/>
            </w:tcBorders>
          </w:tcPr>
          <w:p w:rsidR="00A4359D" w:rsidRPr="00A4359D" w:rsidRDefault="00A4359D" w:rsidP="00A4359D">
            <w:pPr>
              <w:suppressAutoHyphens w:val="0"/>
              <w:rPr>
                <w:rFonts w:ascii="Times New Roman" w:eastAsia="Calibri" w:hAnsi="Times New Roman"/>
                <w:color w:val="0070C0"/>
                <w:sz w:val="24"/>
                <w:lang w:eastAsia="en-US"/>
                <w14:ligatures w14:val="standardContextual"/>
              </w:rPr>
            </w:pPr>
            <w:r w:rsidRPr="00A4359D">
              <w:rPr>
                <w:rFonts w:ascii="Times New Roman" w:eastAsia="Calibri" w:hAnsi="Times New Roman"/>
                <w:color w:val="0070C0"/>
                <w:sz w:val="24"/>
                <w:lang w:eastAsia="en-US"/>
                <w14:ligatures w14:val="standardContextual"/>
              </w:rPr>
              <w:t>A városi programlehetőségek tartalmi és mennyiségi vonatkozásban további fejlesztést igényelnek, és növelni kell a civil szervezetek valamint a lakosság szerepvállalását is a rendezvénykínálat megvalósításában. A programkínálat minőségi és mennyiségi tulajdonságainak javítása érdekében annak kiterjesztésére, továbbá a társadalmi aktivitás ösztönzésére lenne szükség.</w:t>
            </w:r>
          </w:p>
          <w:p w:rsidR="00A4359D" w:rsidRPr="00A4359D" w:rsidRDefault="00A4359D" w:rsidP="00A4359D">
            <w:pPr>
              <w:suppressAutoHyphens w:val="0"/>
              <w:rPr>
                <w:rFonts w:ascii="Times New Roman" w:eastAsia="Calibri" w:hAnsi="Times New Roman"/>
                <w:color w:val="0070C0"/>
                <w:szCs w:val="22"/>
                <w:lang w:eastAsia="en-US"/>
                <w14:ligatures w14:val="standardContextual"/>
              </w:rPr>
            </w:pPr>
            <w:r w:rsidRPr="00A4359D">
              <w:rPr>
                <w:rFonts w:ascii="Times New Roman" w:eastAsia="Calibri" w:hAnsi="Times New Roman"/>
                <w:color w:val="0070C0"/>
                <w:sz w:val="24"/>
                <w:lang w:eastAsia="en-US"/>
                <w14:ligatures w14:val="standardContextual"/>
              </w:rPr>
              <w:t>A bővülő programlehetőségek, a szociális tevékenységek iránti megnövekedett társadalmi igények újabb közösségi és neutrális terek kialakítását, valamint a meglévők bővítését, fejlesztésétét, és minőségi tartalommal való megtöltését indokolják. Kijelenthető tehát, hogy az azonosított problémák között igen nagy fajsúllyal jelent meg a közösségi terek kulturális-infrastrukturális deficite.</w:t>
            </w:r>
          </w:p>
        </w:tc>
        <w:tc>
          <w:tcPr>
            <w:tcW w:w="4035" w:type="dxa"/>
            <w:tcBorders>
              <w:top w:val="single" w:sz="4" w:space="0" w:color="000000"/>
              <w:left w:val="single" w:sz="4" w:space="0" w:color="000000"/>
              <w:bottom w:val="single" w:sz="4" w:space="0" w:color="000000"/>
              <w:right w:val="single" w:sz="4" w:space="0" w:color="000000"/>
            </w:tcBorders>
          </w:tcPr>
          <w:p w:rsidR="00A4359D" w:rsidRPr="00A4359D" w:rsidRDefault="00A4359D">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sidRPr="00A4359D">
              <w:rPr>
                <w:rFonts w:ascii="Times New Roman" w:eastAsia="Calibri" w:hAnsi="Times New Roman"/>
                <w:color w:val="0070C0"/>
                <w:sz w:val="24"/>
                <w:lang w:eastAsia="en-US"/>
                <w14:ligatures w14:val="standardContextual"/>
              </w:rPr>
              <w:t>A gyerekeket érintő kulturális, közösségi, szociális, munkaerő-piaci, bűnmegelőzési, mentálhigiénés egészségmegőrző és egyéb, a társadalmat aktuálisan érintő témájú programok kínálatának színesítése, annak érdekében, hogy mindenki megtalálja saját maga és környezete számára a legalkalmasabb programot, legyen szó workshopról, kiállításról, tanácsadásról, falunapról, segítő szolgáltatásról.</w:t>
            </w:r>
          </w:p>
        </w:tc>
      </w:tr>
      <w:bookmarkEnd w:id="91"/>
    </w:tbl>
    <w:p w:rsidR="00795A46" w:rsidRDefault="00795A46" w:rsidP="00795A46">
      <w:pPr>
        <w:rPr>
          <w:rFonts w:cs="Calibri"/>
          <w:szCs w:val="22"/>
        </w:rPr>
      </w:pPr>
    </w:p>
    <w:p w:rsidR="00795A46" w:rsidRDefault="00795A46">
      <w:pPr>
        <w:suppressAutoHyphens w:val="0"/>
        <w:spacing w:after="160" w:line="259" w:lineRule="auto"/>
        <w:jc w:val="left"/>
      </w:pPr>
      <w:r>
        <w:br w:type="page"/>
      </w:r>
    </w:p>
    <w:p w:rsidR="00795A46" w:rsidRDefault="00795A46" w:rsidP="00795A46">
      <w:pPr>
        <w:pStyle w:val="Cmsor3"/>
        <w:rPr>
          <w:rFonts w:ascii="Times New Roman" w:hAnsi="Times New Roman"/>
          <w:szCs w:val="24"/>
        </w:rPr>
      </w:pPr>
      <w:bookmarkStart w:id="92" w:name="_Toc49500650"/>
      <w:bookmarkStart w:id="93" w:name="_Toc119566839"/>
      <w:r>
        <w:rPr>
          <w:rFonts w:ascii="Times New Roman" w:hAnsi="Times New Roman"/>
          <w:szCs w:val="24"/>
        </w:rPr>
        <w:t>5. A nők helyzete, esélyegyenlősége</w:t>
      </w:r>
      <w:bookmarkEnd w:id="92"/>
      <w:bookmarkEnd w:id="93"/>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iCs/>
          <w:sz w:val="24"/>
        </w:rPr>
      </w:pPr>
      <w:r>
        <w:rPr>
          <w:rFonts w:ascii="Times New Roman" w:hAnsi="Times New Roman"/>
          <w:iCs/>
          <w:sz w:val="24"/>
        </w:rPr>
        <w:t>Jogi alapvetések a nők esélyegyenlőségéhez:</w:t>
      </w:r>
    </w:p>
    <w:p w:rsidR="00795A46" w:rsidRDefault="00795A46" w:rsidP="00795A46">
      <w:pPr>
        <w:rPr>
          <w:rFonts w:ascii="Times New Roman" w:hAnsi="Times New Roman"/>
          <w:iCs/>
          <w:sz w:val="24"/>
        </w:rPr>
      </w:pPr>
      <w:r>
        <w:rPr>
          <w:rFonts w:ascii="Times New Roman" w:hAnsi="Times New Roman"/>
          <w:iCs/>
          <w:sz w:val="24"/>
        </w:rPr>
        <w:t xml:space="preserve"> </w:t>
      </w:r>
    </w:p>
    <w:p w:rsidR="00795A46" w:rsidRDefault="00795A46" w:rsidP="00795A46">
      <w:pPr>
        <w:numPr>
          <w:ilvl w:val="0"/>
          <w:numId w:val="22"/>
        </w:numPr>
        <w:autoSpaceDE w:val="0"/>
        <w:rPr>
          <w:rFonts w:ascii="Times New Roman" w:hAnsi="Times New Roman"/>
          <w:iCs/>
          <w:sz w:val="24"/>
        </w:rPr>
      </w:pPr>
      <w:r>
        <w:rPr>
          <w:rFonts w:ascii="Times New Roman" w:hAnsi="Times New Roman"/>
          <w:iCs/>
          <w:sz w:val="24"/>
        </w:rPr>
        <w:t>Az Alaptörvény XV. cikke rögzíti, hogy a nők és férfiak egyenjogúak, vagyis mind a nőket, mind a férfiakat azonos jogok kell, hogy megillessék minden polgári, politikai, gazdasági, szociális, kulturális jog tekintetében.</w:t>
      </w:r>
    </w:p>
    <w:p w:rsidR="00795A46" w:rsidRDefault="00795A46" w:rsidP="00795A46">
      <w:pPr>
        <w:numPr>
          <w:ilvl w:val="0"/>
          <w:numId w:val="23"/>
        </w:numPr>
        <w:autoSpaceDE w:val="0"/>
        <w:rPr>
          <w:rFonts w:ascii="Times New Roman" w:hAnsi="Times New Roman"/>
          <w:iCs/>
          <w:sz w:val="24"/>
        </w:rPr>
      </w:pPr>
      <w:r>
        <w:rPr>
          <w:rFonts w:ascii="Times New Roman" w:hAnsi="Times New Roman"/>
          <w:iCs/>
          <w:sz w:val="24"/>
        </w:rPr>
        <w:t>a Tanács 76/207/EGK irányelve a nőkkel és a férfiakkal való egyenlő bánásmód elvének a munkavállalás, a szakképzés és az előmenetel lehetőségei, valamint a munkafeltételek terén történő végrehajtásáról és az azt módosító 2002/73/EK irányelv,</w:t>
      </w:r>
    </w:p>
    <w:p w:rsidR="00795A46" w:rsidRDefault="00795A46" w:rsidP="00795A46">
      <w:pPr>
        <w:numPr>
          <w:ilvl w:val="0"/>
          <w:numId w:val="23"/>
        </w:numPr>
        <w:autoSpaceDE w:val="0"/>
        <w:rPr>
          <w:rFonts w:ascii="Times New Roman" w:hAnsi="Times New Roman"/>
          <w:iCs/>
          <w:sz w:val="24"/>
        </w:rPr>
      </w:pPr>
      <w:r>
        <w:rPr>
          <w:rFonts w:ascii="Times New Roman" w:hAnsi="Times New Roman"/>
          <w:iCs/>
          <w:sz w:val="24"/>
        </w:rPr>
        <w:t>a Tanács 79/7/EGK irányelve a férfiakkal és a nőkkel való egyenlő bánásmód elvének a szociális biztonság területén történő fokozatos megvalósításáról,</w:t>
      </w:r>
    </w:p>
    <w:p w:rsidR="00795A46" w:rsidRDefault="00795A46" w:rsidP="00795A46">
      <w:pPr>
        <w:numPr>
          <w:ilvl w:val="0"/>
          <w:numId w:val="23"/>
        </w:numPr>
        <w:autoSpaceDE w:val="0"/>
        <w:rPr>
          <w:rFonts w:ascii="Times New Roman" w:hAnsi="Times New Roman"/>
          <w:iCs/>
          <w:sz w:val="24"/>
        </w:rPr>
      </w:pPr>
      <w:r>
        <w:rPr>
          <w:rFonts w:ascii="Times New Roman" w:hAnsi="Times New Roman"/>
          <w:iCs/>
          <w:sz w:val="24"/>
        </w:rPr>
        <w:t>a Tanács 86/378/EGK irányelve a férfiakkal és a nőkkel való egyenlő bánásmód elvének a foglalkoztatási szociális biztonsági rendszerekben történő megvalósításáról.</w:t>
      </w:r>
    </w:p>
    <w:p w:rsidR="00795A46" w:rsidRDefault="00795A46" w:rsidP="00795A46">
      <w:pPr>
        <w:autoSpaceDE w:val="0"/>
        <w:ind w:firstLine="142"/>
        <w:rPr>
          <w:rFonts w:ascii="Times New Roman" w:hAnsi="Times New Roman"/>
          <w:b/>
          <w:iCs/>
          <w:sz w:val="24"/>
        </w:rPr>
      </w:pPr>
    </w:p>
    <w:p w:rsidR="00795A46" w:rsidRDefault="00795A46" w:rsidP="00795A46">
      <w:pPr>
        <w:pStyle w:val="NormlWeb"/>
        <w:spacing w:before="0" w:after="0"/>
        <w:rPr>
          <w:rFonts w:ascii="Times New Roman" w:hAnsi="Times New Roman"/>
          <w:iCs/>
          <w:sz w:val="24"/>
        </w:rPr>
      </w:pPr>
      <w:r>
        <w:rPr>
          <w:rFonts w:ascii="Times New Roman" w:hAnsi="Times New Roman"/>
          <w:iCs/>
          <w:sz w:val="24"/>
        </w:rPr>
        <w:t xml:space="preserve">A Munka törvénykönyvéről szóló 2012. évi I. törvény 12. §-a rendelkezik arról, hogy a munkaviszonnyal, így különösen a munka díjazásával kapcsolatban az egyenlő bánásmód követelményét meg kell tartani. </w:t>
      </w:r>
      <w:bookmarkStart w:id="94" w:name="pr51"/>
      <w:bookmarkEnd w:id="94"/>
      <w:r>
        <w:rPr>
          <w:rFonts w:ascii="Times New Roman" w:hAnsi="Times New Roman"/>
          <w:iCs/>
          <w:sz w:val="24"/>
        </w:rPr>
        <w:t>A munka egyenlő értékének megállapításánál különösen az elvégzett munka természetét, minőségét, mennyiségét, a munkakörülményeket, a szükséges szakképzettséget, fizikai vagy szellemi erőfeszítést, tapasztalatot, felelősséget, a munkaerő-piaci viszonyokat kell figyelembe venni.</w:t>
      </w:r>
    </w:p>
    <w:p w:rsidR="00795A46" w:rsidRDefault="00795A46" w:rsidP="00795A46">
      <w:pPr>
        <w:rPr>
          <w:rFonts w:ascii="Times New Roman" w:hAnsi="Times New Roman"/>
          <w:iCs/>
          <w:sz w:val="24"/>
        </w:rPr>
      </w:pPr>
    </w:p>
    <w:p w:rsidR="00795A46" w:rsidRDefault="00795A46" w:rsidP="00795A46">
      <w:pPr>
        <w:pStyle w:val="NormlWeb"/>
        <w:spacing w:before="0" w:after="0"/>
        <w:rPr>
          <w:rFonts w:ascii="Times New Roman" w:hAnsi="Times New Roman"/>
          <w:b/>
          <w:iCs/>
          <w:sz w:val="24"/>
        </w:rPr>
      </w:pPr>
      <w:r>
        <w:rPr>
          <w:rFonts w:ascii="Times New Roman" w:hAnsi="Times New Roman"/>
          <w:iCs/>
          <w:sz w:val="24"/>
        </w:rPr>
        <w:t>Az Ebktv. megfogalmazza a közvetlen és a közvetett diszkrimináció fogalmát, amely rögzíti, hogy az adott személy olyan tulajdonsága miatt kerül hátrányba más, összehasonlítható helyzetben lévő személyekhez képest, amit nem tud befolyásolni. Védett tulajdonságként nevezi meg a törvény a nemet, családi állapotot, az anyaságot és terhességet is.</w:t>
      </w:r>
      <w:r>
        <w:rPr>
          <w:rFonts w:ascii="Times New Roman" w:hAnsi="Times New Roman"/>
          <w:iCs/>
          <w:sz w:val="24"/>
        </w:rPr>
        <w:tab/>
      </w:r>
      <w:r>
        <w:rPr>
          <w:rFonts w:ascii="Times New Roman" w:hAnsi="Times New Roman"/>
          <w:iCs/>
          <w:sz w:val="24"/>
        </w:rPr>
        <w:br/>
      </w:r>
    </w:p>
    <w:p w:rsidR="00795A46" w:rsidRDefault="00795A46" w:rsidP="00795A46">
      <w:pPr>
        <w:pStyle w:val="NormlWeb"/>
        <w:spacing w:before="0" w:after="0"/>
        <w:rPr>
          <w:rFonts w:ascii="Times New Roman" w:hAnsi="Times New Roman"/>
          <w:b/>
          <w:i/>
          <w:sz w:val="24"/>
        </w:rPr>
      </w:pPr>
    </w:p>
    <w:p w:rsidR="00795A46" w:rsidRDefault="00795A46" w:rsidP="00795A46">
      <w:pPr>
        <w:pStyle w:val="NormlWeb"/>
        <w:spacing w:before="0" w:after="0"/>
        <w:rPr>
          <w:rFonts w:ascii="Times New Roman" w:hAnsi="Times New Roman"/>
          <w:b/>
          <w:sz w:val="24"/>
        </w:rPr>
      </w:pPr>
      <w:r>
        <w:rPr>
          <w:rFonts w:ascii="Times New Roman" w:hAnsi="Times New Roman"/>
          <w:b/>
          <w:sz w:val="24"/>
        </w:rPr>
        <w:t>5.1 A nők gazdasági szerepe és esélyegyenlősége</w:t>
      </w:r>
    </w:p>
    <w:p w:rsidR="00795A46" w:rsidRDefault="00795A46" w:rsidP="00795A46">
      <w:pPr>
        <w:pStyle w:val="NormlWeb"/>
        <w:spacing w:before="0" w:after="0"/>
        <w:rPr>
          <w:rFonts w:ascii="Times New Roman" w:hAnsi="Times New Roman"/>
          <w:b/>
          <w:sz w:val="24"/>
        </w:rPr>
      </w:pPr>
    </w:p>
    <w:p w:rsidR="00795A46" w:rsidRDefault="00795A46" w:rsidP="00795A46">
      <w:pPr>
        <w:pStyle w:val="NormlWeb"/>
        <w:spacing w:before="0" w:after="0"/>
        <w:rPr>
          <w:rFonts w:ascii="Times New Roman" w:hAnsi="Times New Roman"/>
          <w:b/>
          <w:sz w:val="24"/>
        </w:rPr>
      </w:pPr>
    </w:p>
    <w:p w:rsidR="00795A46" w:rsidRDefault="00795A46" w:rsidP="00795A46">
      <w:pPr>
        <w:autoSpaceDE w:val="0"/>
        <w:spacing w:after="20"/>
        <w:ind w:firstLine="709"/>
        <w:rPr>
          <w:rFonts w:ascii="Times New Roman" w:hAnsi="Times New Roman"/>
          <w:sz w:val="24"/>
        </w:rPr>
      </w:pPr>
      <w:r>
        <w:rPr>
          <w:rFonts w:ascii="Times New Roman" w:hAnsi="Times New Roman"/>
          <w:sz w:val="24"/>
        </w:rPr>
        <w:t>A nők gazdasági, a munkaerő-piaci speciális helyzetét többek között az adja, hogy egyszerre több szerepet töltenek be a mindennapi életben, egyszerre kell helytállniuk a munkahelyen és a családjukban. A kettős szerep miatt sokszor plusz terhek nehezednek rájuk, s a szerepek összehangolása néha nehézséget jelenthet mindkét fél számára. A gyermekgondozási szabadságról (GYES, GYED, GYET) visszatérni szándékozó, illetve a kisgyermeket nevelő nők számára a korábbi munkahelyükre való visszatérés több szempontból is nehéz feladatot jelent. A munkaadók sokszor gondolják azt, hogy a gyermeket nevelő nők kevésbé terhelhetők, gyermekük esetleges betegségei, a család ellátása miatt kevésbé kiszámíthatók. Munkától való tartós távollétük alatt készségeik, ismereteik elavulnak, megkopnak, amely alkalmazásukban hátráltathatja őket (főleg, ha több gyermek születése miatt hosszabb időt töltöttek távol). Még nagyobb hátrányban vannak azok, akik gyermeküket, vagy gyermekeiket egyedülállóként nevelik, és/vagy esetleg pályakezdőként kevés munkatapasztalattal rendelkeznek.</w:t>
      </w:r>
    </w:p>
    <w:p w:rsidR="00795A46" w:rsidRDefault="00795A46" w:rsidP="00795A46">
      <w:pPr>
        <w:autoSpaceDE w:val="0"/>
        <w:spacing w:after="20" w:line="300" w:lineRule="atLeast"/>
        <w:rPr>
          <w:rFonts w:ascii="Times New Roman" w:hAnsi="Times New Roman"/>
          <w:sz w:val="24"/>
        </w:rPr>
      </w:pPr>
      <w:r>
        <w:rPr>
          <w:rFonts w:ascii="Times New Roman" w:hAnsi="Times New Roman"/>
          <w:sz w:val="24"/>
        </w:rPr>
        <w:t>Az önkormányzat, mint munkáltató eleget tesz az egyenlő munkáért egyenlő bér követelményének.</w:t>
      </w:r>
    </w:p>
    <w:p w:rsidR="00795A46" w:rsidRDefault="00795A46" w:rsidP="00795A46">
      <w:pPr>
        <w:autoSpaceDE w:val="0"/>
        <w:spacing w:after="20"/>
        <w:ind w:firstLine="142"/>
        <w:rPr>
          <w:rFonts w:ascii="Times New Roman" w:hAnsi="Times New Roman"/>
          <w:b/>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sz w:val="24"/>
        </w:rPr>
        <w:br w:type="page"/>
        <w:t>5.1 A nők gazdasági szerepe és esélyegyenlősége</w:t>
      </w:r>
    </w:p>
    <w:p w:rsidR="00795A46" w:rsidRDefault="00795A46" w:rsidP="00795A46">
      <w:pPr>
        <w:keepNext/>
        <w:tabs>
          <w:tab w:val="left" w:pos="2580"/>
        </w:tabs>
        <w:rPr>
          <w:rFonts w:ascii="Times New Roman" w:hAnsi="Times New Roman"/>
          <w:sz w:val="24"/>
        </w:rPr>
      </w:pPr>
    </w:p>
    <w:p w:rsidR="00795A46" w:rsidRDefault="00795A46" w:rsidP="00795A46">
      <w:pPr>
        <w:keepNext/>
        <w:tabs>
          <w:tab w:val="left" w:pos="2580"/>
        </w:tabs>
        <w:rPr>
          <w:rFonts w:ascii="Times New Roman" w:hAnsi="Times New Roman"/>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i/>
          <w:iCs/>
          <w:sz w:val="24"/>
        </w:rPr>
        <w:t>a)</w:t>
      </w:r>
      <w:r>
        <w:rPr>
          <w:rFonts w:ascii="Times New Roman" w:hAnsi="Times New Roman"/>
          <w:b/>
          <w:sz w:val="24"/>
        </w:rPr>
        <w:t xml:space="preserve"> foglalkoztatás és munkanélküliség a nők körében</w:t>
      </w:r>
    </w:p>
    <w:p w:rsidR="00795A46" w:rsidRDefault="00795A46" w:rsidP="00795A46">
      <w:pPr>
        <w:pStyle w:val="Tblacm"/>
        <w:rPr>
          <w:rFonts w:ascii="Times New Roman" w:hAnsi="Times New Roman"/>
          <w:sz w:val="24"/>
          <w:szCs w:val="24"/>
          <w:shd w:val="clear" w:color="auto" w:fill="00FF00"/>
        </w:rPr>
      </w:pPr>
    </w:p>
    <w:p w:rsidR="00795A46" w:rsidRDefault="00795A46" w:rsidP="00795A46">
      <w:pPr>
        <w:pStyle w:val="Tblacm"/>
        <w:rPr>
          <w:rFonts w:ascii="Times New Roman" w:hAnsi="Times New Roman"/>
          <w:sz w:val="24"/>
          <w:szCs w:val="24"/>
          <w:shd w:val="clear" w:color="auto" w:fill="00FF00"/>
        </w:rPr>
      </w:pPr>
      <w:bookmarkStart w:id="95" w:name="__RefHeading__199_1906745769"/>
      <w:bookmarkEnd w:id="95"/>
      <w:r>
        <w:rPr>
          <w:rFonts w:ascii="Times New Roman" w:hAnsi="Times New Roman"/>
          <w:sz w:val="24"/>
          <w:szCs w:val="24"/>
          <w:shd w:val="clear" w:color="auto" w:fill="00FF00"/>
        </w:rPr>
        <w:t>5.1.1. számú táblázat – Munkanélküliségi ráta nemek szerint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u w:val="single"/>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u w:val="single"/>
        </w:rPr>
      </w:pPr>
    </w:p>
    <w:tbl>
      <w:tblPr>
        <w:tblW w:w="9209" w:type="dxa"/>
        <w:tblCellMar>
          <w:left w:w="70" w:type="dxa"/>
          <w:right w:w="70" w:type="dxa"/>
        </w:tblCellMar>
        <w:tblLook w:val="04A0" w:firstRow="1" w:lastRow="0" w:firstColumn="1" w:lastColumn="0" w:noHBand="0" w:noVBand="1"/>
      </w:tblPr>
      <w:tblGrid>
        <w:gridCol w:w="1000"/>
        <w:gridCol w:w="2681"/>
        <w:gridCol w:w="2551"/>
        <w:gridCol w:w="2977"/>
      </w:tblGrid>
      <w:tr w:rsidR="00795A46" w:rsidTr="00795A46">
        <w:trPr>
          <w:trHeight w:val="379"/>
        </w:trPr>
        <w:tc>
          <w:tcPr>
            <w:tcW w:w="1000" w:type="dxa"/>
            <w:vMerge w:val="restart"/>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Év </w:t>
            </w:r>
          </w:p>
        </w:tc>
        <w:tc>
          <w:tcPr>
            <w:tcW w:w="8209" w:type="dxa"/>
            <w:gridSpan w:val="3"/>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Nyilvántartott álláskeresők aránya az állandó népességben a 15-64 évesek körében</w:t>
            </w:r>
          </w:p>
        </w:tc>
      </w:tr>
      <w:tr w:rsidR="00795A46" w:rsidTr="00795A46">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left"/>
              <w:rPr>
                <w:rFonts w:cs="Calibri"/>
                <w:b/>
                <w:bCs/>
                <w:szCs w:val="22"/>
                <w:lang w:eastAsia="hu-HU"/>
              </w:rPr>
            </w:pPr>
          </w:p>
        </w:tc>
        <w:tc>
          <w:tcPr>
            <w:tcW w:w="2681"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 xml:space="preserve">Férfiak aránya </w:t>
            </w:r>
            <w:r>
              <w:rPr>
                <w:rFonts w:cs="Calibri"/>
                <w:szCs w:val="22"/>
                <w:lang w:eastAsia="hu-HU"/>
              </w:rPr>
              <w:t>(TS 033)</w:t>
            </w:r>
          </w:p>
        </w:tc>
        <w:tc>
          <w:tcPr>
            <w:tcW w:w="2551"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 xml:space="preserve">Nők aránya </w:t>
            </w:r>
            <w:r>
              <w:rPr>
                <w:rFonts w:cs="Calibri"/>
                <w:szCs w:val="22"/>
                <w:lang w:eastAsia="hu-HU"/>
              </w:rPr>
              <w:t>(TS 034)</w:t>
            </w:r>
          </w:p>
        </w:tc>
        <w:tc>
          <w:tcPr>
            <w:tcW w:w="2977"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Összesen</w:t>
            </w:r>
          </w:p>
        </w:tc>
      </w:tr>
      <w:tr w:rsidR="00795A46" w:rsidTr="00795A4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left"/>
              <w:rPr>
                <w:rFonts w:cs="Calibri"/>
                <w:b/>
                <w:bCs/>
                <w:szCs w:val="22"/>
                <w:lang w:eastAsia="hu-HU"/>
              </w:rPr>
            </w:pPr>
          </w:p>
        </w:tc>
        <w:tc>
          <w:tcPr>
            <w:tcW w:w="2681"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w:t>
            </w:r>
          </w:p>
        </w:tc>
        <w:tc>
          <w:tcPr>
            <w:tcW w:w="2551"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w:t>
            </w:r>
          </w:p>
        </w:tc>
        <w:tc>
          <w:tcPr>
            <w:tcW w:w="2977"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w:t>
            </w:r>
          </w:p>
        </w:tc>
      </w:tr>
      <w:tr w:rsidR="00795A46" w:rsidTr="00795A46">
        <w:trPr>
          <w:trHeight w:val="300"/>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2015</w:t>
            </w:r>
          </w:p>
        </w:tc>
        <w:tc>
          <w:tcPr>
            <w:tcW w:w="2681"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3,23%</w:t>
            </w:r>
          </w:p>
        </w:tc>
        <w:tc>
          <w:tcPr>
            <w:tcW w:w="2551"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5,73%</w:t>
            </w:r>
          </w:p>
        </w:tc>
        <w:tc>
          <w:tcPr>
            <w:tcW w:w="2977" w:type="dxa"/>
            <w:tcBorders>
              <w:top w:val="nil"/>
              <w:left w:val="nil"/>
              <w:bottom w:val="single" w:sz="4" w:space="0" w:color="auto"/>
              <w:right w:val="single" w:sz="4" w:space="0" w:color="auto"/>
            </w:tcBorders>
            <w:shd w:val="clear" w:color="auto" w:fill="FFF2CC"/>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4,48%</w:t>
            </w:r>
          </w:p>
        </w:tc>
      </w:tr>
      <w:tr w:rsidR="00795A46" w:rsidTr="00795A46">
        <w:trPr>
          <w:trHeight w:val="300"/>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2016</w:t>
            </w:r>
          </w:p>
        </w:tc>
        <w:tc>
          <w:tcPr>
            <w:tcW w:w="2681"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4,10%</w:t>
            </w:r>
          </w:p>
        </w:tc>
        <w:tc>
          <w:tcPr>
            <w:tcW w:w="2551"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4,22%</w:t>
            </w:r>
          </w:p>
        </w:tc>
        <w:tc>
          <w:tcPr>
            <w:tcW w:w="2977" w:type="dxa"/>
            <w:tcBorders>
              <w:top w:val="nil"/>
              <w:left w:val="nil"/>
              <w:bottom w:val="single" w:sz="4" w:space="0" w:color="auto"/>
              <w:right w:val="single" w:sz="4" w:space="0" w:color="auto"/>
            </w:tcBorders>
            <w:shd w:val="clear" w:color="auto" w:fill="FFF2CC"/>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4,16%</w:t>
            </w:r>
          </w:p>
        </w:tc>
      </w:tr>
      <w:tr w:rsidR="00795A46" w:rsidTr="00795A46">
        <w:trPr>
          <w:trHeight w:val="300"/>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2017</w:t>
            </w:r>
          </w:p>
        </w:tc>
        <w:tc>
          <w:tcPr>
            <w:tcW w:w="2681"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3,06%</w:t>
            </w:r>
          </w:p>
        </w:tc>
        <w:tc>
          <w:tcPr>
            <w:tcW w:w="2551"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3,08%</w:t>
            </w:r>
          </w:p>
        </w:tc>
        <w:tc>
          <w:tcPr>
            <w:tcW w:w="2977" w:type="dxa"/>
            <w:tcBorders>
              <w:top w:val="nil"/>
              <w:left w:val="nil"/>
              <w:bottom w:val="single" w:sz="4" w:space="0" w:color="auto"/>
              <w:right w:val="single" w:sz="4" w:space="0" w:color="auto"/>
            </w:tcBorders>
            <w:shd w:val="clear" w:color="auto" w:fill="FFF2CC"/>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3,07%</w:t>
            </w:r>
          </w:p>
        </w:tc>
      </w:tr>
      <w:tr w:rsidR="00795A46" w:rsidTr="00795A46">
        <w:trPr>
          <w:trHeight w:val="300"/>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2018</w:t>
            </w:r>
          </w:p>
        </w:tc>
        <w:tc>
          <w:tcPr>
            <w:tcW w:w="2681"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3,20%</w:t>
            </w:r>
          </w:p>
        </w:tc>
        <w:tc>
          <w:tcPr>
            <w:tcW w:w="2551"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3,49%</w:t>
            </w:r>
          </w:p>
        </w:tc>
        <w:tc>
          <w:tcPr>
            <w:tcW w:w="2977" w:type="dxa"/>
            <w:tcBorders>
              <w:top w:val="nil"/>
              <w:left w:val="nil"/>
              <w:bottom w:val="single" w:sz="4" w:space="0" w:color="auto"/>
              <w:right w:val="single" w:sz="4" w:space="0" w:color="auto"/>
            </w:tcBorders>
            <w:shd w:val="clear" w:color="auto" w:fill="FFF2CC"/>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3,35%</w:t>
            </w:r>
          </w:p>
        </w:tc>
      </w:tr>
      <w:tr w:rsidR="00795A46" w:rsidTr="00795A46">
        <w:trPr>
          <w:trHeight w:val="300"/>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2019</w:t>
            </w:r>
          </w:p>
        </w:tc>
        <w:tc>
          <w:tcPr>
            <w:tcW w:w="2681"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4,43%</w:t>
            </w:r>
          </w:p>
        </w:tc>
        <w:tc>
          <w:tcPr>
            <w:tcW w:w="2551"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3,42%</w:t>
            </w:r>
          </w:p>
        </w:tc>
        <w:tc>
          <w:tcPr>
            <w:tcW w:w="2977" w:type="dxa"/>
            <w:tcBorders>
              <w:top w:val="nil"/>
              <w:left w:val="nil"/>
              <w:bottom w:val="single" w:sz="4" w:space="0" w:color="auto"/>
              <w:right w:val="single" w:sz="4" w:space="0" w:color="auto"/>
            </w:tcBorders>
            <w:shd w:val="clear" w:color="auto" w:fill="FFF2CC"/>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3,93%</w:t>
            </w:r>
          </w:p>
        </w:tc>
      </w:tr>
      <w:tr w:rsidR="00795A46" w:rsidTr="00795A46">
        <w:trPr>
          <w:trHeight w:val="300"/>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2020</w:t>
            </w:r>
          </w:p>
        </w:tc>
        <w:tc>
          <w:tcPr>
            <w:tcW w:w="2681"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c>
          <w:tcPr>
            <w:tcW w:w="2551"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c>
          <w:tcPr>
            <w:tcW w:w="2977" w:type="dxa"/>
            <w:tcBorders>
              <w:top w:val="nil"/>
              <w:left w:val="nil"/>
              <w:bottom w:val="single" w:sz="4" w:space="0" w:color="auto"/>
              <w:right w:val="single" w:sz="4" w:space="0" w:color="auto"/>
            </w:tcBorders>
            <w:shd w:val="clear" w:color="auto" w:fill="FFF2CC"/>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0,00%</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u w:val="single"/>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Forrás: TeIR, Nemzeti Munkaügyi Hivatal</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u w:val="single"/>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u w:val="single"/>
        </w:rPr>
      </w:pPr>
      <w:r>
        <w:rPr>
          <w:noProof/>
          <w:lang w:eastAsia="hu-HU"/>
        </w:rPr>
        <w:drawing>
          <wp:inline distT="0" distB="0" distL="0" distR="0" wp14:anchorId="268F1153" wp14:editId="59985A4B">
            <wp:extent cx="4476750" cy="2867025"/>
            <wp:effectExtent l="0" t="0" r="0" b="9525"/>
            <wp:docPr id="47" name="Diagram 47">
              <a:extLst xmlns:a="http://schemas.openxmlformats.org/drawingml/2006/main">
                <a:ext uri="{FF2B5EF4-FFF2-40B4-BE49-F238E27FC236}">
                  <a16:creationId xmlns:a16="http://schemas.microsoft.com/office/drawing/2014/main" id="{00000000-0008-0000-04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u w:val="single"/>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1"/>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Az adatgyűjtésből látható, hogy a munkavállalási korúak körében közel azonos arányban találjuk a női és a férfi álláskeresőket. A 2020-as évre vonatkozóan még nem rendelkezünk a nemek szerinti munkanélküliséget bemutató adatsorral, azonban a világjárványnak lehetett a munkanélküliség kimutatható mértékű rosszabbodását eredményező hatása, amelyet a települési önkormányzat szociális támogatásainak nyújtásával igyekezett kompenzálni. A nemek arányát vizsgálva megállapítható, hogy a nők magasabb munkanélküliségi aránya csökkenni látszik, ennek okai között tudhatjuk az újabb gyermek vállalása miatt elmaradó munkaügyi regisztrációt és a közeli városok gyáregységeiben tömegesen lehetővé humánerőforrás-kapacitásbővítést egyaránt.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highlight w:val="green"/>
        </w:rPr>
        <w:t>5.1.2. számú táblázat - A 180 napnál hosszabb ideje nyilvántartott álláskeresők aránya</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tbl>
      <w:tblPr>
        <w:tblW w:w="9634" w:type="dxa"/>
        <w:tblCellMar>
          <w:left w:w="70" w:type="dxa"/>
          <w:right w:w="70" w:type="dxa"/>
        </w:tblCellMar>
        <w:tblLook w:val="04A0" w:firstRow="1" w:lastRow="0" w:firstColumn="1" w:lastColumn="0" w:noHBand="0" w:noVBand="1"/>
      </w:tblPr>
      <w:tblGrid>
        <w:gridCol w:w="940"/>
        <w:gridCol w:w="4442"/>
        <w:gridCol w:w="4252"/>
      </w:tblGrid>
      <w:tr w:rsidR="00795A46" w:rsidTr="00795A46">
        <w:trPr>
          <w:trHeight w:val="420"/>
        </w:trPr>
        <w:tc>
          <w:tcPr>
            <w:tcW w:w="940" w:type="dxa"/>
            <w:vMerge w:val="restart"/>
            <w:tcBorders>
              <w:top w:val="single" w:sz="4" w:space="0" w:color="auto"/>
              <w:left w:val="single" w:sz="4" w:space="0" w:color="auto"/>
              <w:bottom w:val="single" w:sz="4" w:space="0" w:color="000000"/>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Év </w:t>
            </w:r>
          </w:p>
        </w:tc>
        <w:tc>
          <w:tcPr>
            <w:tcW w:w="4442" w:type="dxa"/>
            <w:vMerge w:val="restart"/>
            <w:tcBorders>
              <w:top w:val="single" w:sz="4" w:space="0" w:color="auto"/>
              <w:left w:val="single" w:sz="4" w:space="0" w:color="auto"/>
              <w:bottom w:val="single" w:sz="4" w:space="0" w:color="000000"/>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 xml:space="preserve">180 napnál hosszabb ideje regisztrált munkanélküliek aránya </w:t>
            </w:r>
            <w:r>
              <w:rPr>
                <w:rFonts w:cs="Calibri"/>
                <w:szCs w:val="22"/>
                <w:lang w:eastAsia="hu-HU"/>
              </w:rPr>
              <w:t>(TS 057)</w:t>
            </w:r>
          </w:p>
        </w:tc>
        <w:tc>
          <w:tcPr>
            <w:tcW w:w="4252" w:type="dxa"/>
            <w:vMerge w:val="restart"/>
            <w:tcBorders>
              <w:top w:val="single" w:sz="4" w:space="0" w:color="auto"/>
              <w:left w:val="single" w:sz="4" w:space="0" w:color="auto"/>
              <w:bottom w:val="single" w:sz="4" w:space="0" w:color="000000"/>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 xml:space="preserve">Nők aránya a 180 napon túli nyilvántartott álláskeresőkön belül </w:t>
            </w:r>
            <w:r>
              <w:rPr>
                <w:rFonts w:cs="Calibri"/>
                <w:szCs w:val="22"/>
                <w:lang w:eastAsia="hu-HU"/>
              </w:rPr>
              <w:t>(TS 058)</w:t>
            </w:r>
          </w:p>
        </w:tc>
      </w:tr>
      <w:tr w:rsidR="00795A46" w:rsidTr="00795A46">
        <w:trPr>
          <w:trHeight w:val="286"/>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spacing w:line="256" w:lineRule="auto"/>
              <w:jc w:val="left"/>
              <w:rPr>
                <w:rFonts w:cs="Calibri"/>
                <w:b/>
                <w:bCs/>
                <w:szCs w:val="22"/>
                <w:lang w:eastAsia="hu-H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spacing w:line="256" w:lineRule="auto"/>
              <w:jc w:val="left"/>
              <w:rPr>
                <w:rFonts w:cs="Calibri"/>
                <w:b/>
                <w:bCs/>
                <w:szCs w:val="22"/>
                <w:lang w:eastAsia="hu-H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spacing w:line="256" w:lineRule="auto"/>
              <w:jc w:val="left"/>
              <w:rPr>
                <w:rFonts w:cs="Calibri"/>
                <w:b/>
                <w:bCs/>
                <w:szCs w:val="22"/>
                <w:lang w:eastAsia="hu-HU"/>
              </w:rPr>
            </w:pPr>
          </w:p>
        </w:tc>
      </w:tr>
      <w:tr w:rsidR="00795A46" w:rsidTr="00795A46">
        <w:trPr>
          <w:trHeight w:val="7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spacing w:line="256" w:lineRule="auto"/>
              <w:jc w:val="left"/>
              <w:rPr>
                <w:rFonts w:cs="Calibri"/>
                <w:b/>
                <w:bCs/>
                <w:szCs w:val="22"/>
                <w:lang w:eastAsia="hu-HU"/>
              </w:rPr>
            </w:pPr>
          </w:p>
        </w:tc>
        <w:tc>
          <w:tcPr>
            <w:tcW w:w="4442"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w:t>
            </w:r>
          </w:p>
        </w:tc>
        <w:tc>
          <w:tcPr>
            <w:tcW w:w="4252"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w:t>
            </w:r>
          </w:p>
        </w:tc>
      </w:tr>
      <w:tr w:rsidR="00795A46" w:rsidTr="00795A46">
        <w:trPr>
          <w:trHeight w:val="300"/>
        </w:trPr>
        <w:tc>
          <w:tcPr>
            <w:tcW w:w="9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2015</w:t>
            </w:r>
          </w:p>
        </w:tc>
        <w:tc>
          <w:tcPr>
            <w:tcW w:w="4442"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47,37%</w:t>
            </w:r>
          </w:p>
        </w:tc>
        <w:tc>
          <w:tcPr>
            <w:tcW w:w="4252"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73,61%</w:t>
            </w:r>
          </w:p>
        </w:tc>
      </w:tr>
      <w:tr w:rsidR="00795A46" w:rsidTr="00795A46">
        <w:trPr>
          <w:trHeight w:val="300"/>
        </w:trPr>
        <w:tc>
          <w:tcPr>
            <w:tcW w:w="9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2016</w:t>
            </w:r>
          </w:p>
        </w:tc>
        <w:tc>
          <w:tcPr>
            <w:tcW w:w="4442"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35,25%</w:t>
            </w:r>
          </w:p>
        </w:tc>
        <w:tc>
          <w:tcPr>
            <w:tcW w:w="4252"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61,22%</w:t>
            </w:r>
          </w:p>
        </w:tc>
      </w:tr>
      <w:tr w:rsidR="00795A46" w:rsidTr="00795A46">
        <w:trPr>
          <w:trHeight w:val="300"/>
        </w:trPr>
        <w:tc>
          <w:tcPr>
            <w:tcW w:w="9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2017</w:t>
            </w:r>
          </w:p>
        </w:tc>
        <w:tc>
          <w:tcPr>
            <w:tcW w:w="4442"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37,25%</w:t>
            </w:r>
          </w:p>
        </w:tc>
        <w:tc>
          <w:tcPr>
            <w:tcW w:w="4252"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65,79%</w:t>
            </w:r>
          </w:p>
        </w:tc>
      </w:tr>
      <w:tr w:rsidR="00795A46" w:rsidTr="00795A46">
        <w:trPr>
          <w:trHeight w:val="300"/>
        </w:trPr>
        <w:tc>
          <w:tcPr>
            <w:tcW w:w="9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2018</w:t>
            </w:r>
          </w:p>
        </w:tc>
        <w:tc>
          <w:tcPr>
            <w:tcW w:w="4442"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38,18%</w:t>
            </w:r>
          </w:p>
        </w:tc>
        <w:tc>
          <w:tcPr>
            <w:tcW w:w="4252"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64,29%</w:t>
            </w:r>
          </w:p>
        </w:tc>
      </w:tr>
      <w:tr w:rsidR="00795A46" w:rsidTr="00795A46">
        <w:trPr>
          <w:trHeight w:val="300"/>
        </w:trPr>
        <w:tc>
          <w:tcPr>
            <w:tcW w:w="9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2019</w:t>
            </w:r>
          </w:p>
        </w:tc>
        <w:tc>
          <w:tcPr>
            <w:tcW w:w="4442"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40,94%</w:t>
            </w:r>
          </w:p>
        </w:tc>
        <w:tc>
          <w:tcPr>
            <w:tcW w:w="4252"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48,08%</w:t>
            </w:r>
          </w:p>
        </w:tc>
      </w:tr>
      <w:tr w:rsidR="00795A46" w:rsidTr="00795A46">
        <w:trPr>
          <w:trHeight w:val="300"/>
        </w:trPr>
        <w:tc>
          <w:tcPr>
            <w:tcW w:w="9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2020</w:t>
            </w:r>
          </w:p>
        </w:tc>
        <w:tc>
          <w:tcPr>
            <w:tcW w:w="4442"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c>
          <w:tcPr>
            <w:tcW w:w="4252"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Forrás: TeIR, Nemzeti Munkaügyi Hivatal</w:t>
      </w: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noProof/>
          <w:lang w:eastAsia="hu-HU"/>
        </w:rPr>
        <w:drawing>
          <wp:inline distT="0" distB="0" distL="0" distR="0" wp14:anchorId="44CCD17A" wp14:editId="008D142F">
            <wp:extent cx="4295775" cy="3048000"/>
            <wp:effectExtent l="0" t="0" r="9525" b="0"/>
            <wp:docPr id="46" name="Diagram 46">
              <a:extLst xmlns:a="http://schemas.openxmlformats.org/drawingml/2006/main">
                <a:ext uri="{FF2B5EF4-FFF2-40B4-BE49-F238E27FC236}">
                  <a16:creationId xmlns:a16="http://schemas.microsoft.com/office/drawing/2014/main" id="{00000000-0008-0000-04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Sajnos a legalább fél éve eredménytelenül állást kereső aktív korúak aránya a 2015-ös érték utáni csökkenéshez képest most emelkedést mutat, azonban legalább a nemek aránya kiegyenlítődött. Korábban a nők közül sajnos sokkal többen voltak legalább fél évig munkanélküliek, mint a férfiak, ennek okaként a statisztikai bázison kívüli (leginkább hallomásból, a Családsegítőtől vagy a köznevelési intézménytől megszerzett) információk tanulsága szerint leginkább az jelölhető meg, hogy a nőknek kellett megoldaniuk a beteg gyermek vagy a beteg családtag ápolását, gondozását, valamint a szünidei gyermekfelügyeletet is. Más információforrások arról számoltak be, hogy a közeli városokban elérhető könnyű fizikai munkalehetőségek korlátozottabbak voltak, és a gyermeket nevelő nők kevésbé tudják vállalni a váltott műszakos munkarendet, mint a férfiak.</w:t>
      </w: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r>
        <w:rPr>
          <w:rFonts w:ascii="Times New Roman" w:hAnsi="Times New Roman"/>
          <w:sz w:val="24"/>
          <w:highlight w:val="green"/>
        </w:rPr>
        <w:t>5.1.3. Pályakezdő álláskeresők száma</w:t>
      </w: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p>
    <w:tbl>
      <w:tblPr>
        <w:tblW w:w="9209" w:type="dxa"/>
        <w:tblCellMar>
          <w:left w:w="70" w:type="dxa"/>
          <w:right w:w="70" w:type="dxa"/>
        </w:tblCellMar>
        <w:tblLook w:val="04A0" w:firstRow="1" w:lastRow="0" w:firstColumn="1" w:lastColumn="0" w:noHBand="0" w:noVBand="1"/>
      </w:tblPr>
      <w:tblGrid>
        <w:gridCol w:w="960"/>
        <w:gridCol w:w="2300"/>
        <w:gridCol w:w="5949"/>
      </w:tblGrid>
      <w:tr w:rsidR="00795A46" w:rsidTr="00795A46">
        <w:trPr>
          <w:trHeight w:val="70"/>
        </w:trPr>
        <w:tc>
          <w:tcPr>
            <w:tcW w:w="960" w:type="dxa"/>
            <w:vMerge w:val="restart"/>
            <w:tcBorders>
              <w:top w:val="single" w:sz="4" w:space="0" w:color="auto"/>
              <w:left w:val="single" w:sz="4" w:space="0" w:color="auto"/>
              <w:bottom w:val="single" w:sz="4" w:space="0" w:color="000000"/>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Év </w:t>
            </w:r>
          </w:p>
        </w:tc>
        <w:tc>
          <w:tcPr>
            <w:tcW w:w="2300" w:type="dxa"/>
            <w:tcBorders>
              <w:top w:val="nil"/>
              <w:left w:val="nil"/>
              <w:bottom w:val="nil"/>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Nyilvántartott álláskeresők száma</w:t>
            </w:r>
            <w:r>
              <w:rPr>
                <w:rFonts w:cs="Calibri"/>
                <w:b/>
                <w:bCs/>
                <w:szCs w:val="22"/>
                <w:lang w:eastAsia="hu-HU"/>
              </w:rPr>
              <w:br/>
            </w:r>
            <w:r>
              <w:rPr>
                <w:rFonts w:cs="Calibri"/>
                <w:szCs w:val="22"/>
                <w:lang w:eastAsia="hu-HU"/>
              </w:rPr>
              <w:t>(TS 052)</w:t>
            </w:r>
          </w:p>
        </w:tc>
        <w:tc>
          <w:tcPr>
            <w:tcW w:w="5949"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Nyilvántartott pályakezdő álláskeresők száma</w:t>
            </w:r>
            <w:r>
              <w:rPr>
                <w:rFonts w:cs="Calibri"/>
                <w:b/>
                <w:bCs/>
                <w:szCs w:val="22"/>
                <w:lang w:eastAsia="hu-HU"/>
              </w:rPr>
              <w:br/>
            </w:r>
            <w:r>
              <w:rPr>
                <w:rFonts w:cs="Calibri"/>
                <w:szCs w:val="22"/>
                <w:lang w:eastAsia="hu-HU"/>
              </w:rPr>
              <w:t>(TS 053)</w:t>
            </w:r>
          </w:p>
        </w:tc>
      </w:tr>
      <w:tr w:rsidR="00795A46" w:rsidTr="00795A46">
        <w:trPr>
          <w:trHeight w:val="6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spacing w:line="256" w:lineRule="auto"/>
              <w:jc w:val="left"/>
              <w:rPr>
                <w:rFonts w:cs="Calibri"/>
                <w:b/>
                <w:bCs/>
                <w:szCs w:val="22"/>
                <w:lang w:eastAsia="hu-HU"/>
              </w:rPr>
            </w:pPr>
          </w:p>
        </w:tc>
        <w:tc>
          <w:tcPr>
            <w:tcW w:w="2300" w:type="dxa"/>
            <w:tcBorders>
              <w:top w:val="single" w:sz="4" w:space="0" w:color="auto"/>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fő</w:t>
            </w:r>
          </w:p>
        </w:tc>
        <w:tc>
          <w:tcPr>
            <w:tcW w:w="5949"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Fő</w:t>
            </w: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2015</w:t>
            </w:r>
          </w:p>
        </w:tc>
        <w:tc>
          <w:tcPr>
            <w:tcW w:w="230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152</w:t>
            </w:r>
          </w:p>
        </w:tc>
        <w:tc>
          <w:tcPr>
            <w:tcW w:w="5949"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18</w:t>
            </w: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2016</w:t>
            </w:r>
          </w:p>
        </w:tc>
        <w:tc>
          <w:tcPr>
            <w:tcW w:w="230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139</w:t>
            </w:r>
          </w:p>
        </w:tc>
        <w:tc>
          <w:tcPr>
            <w:tcW w:w="5949"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14</w:t>
            </w: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2017</w:t>
            </w:r>
          </w:p>
        </w:tc>
        <w:tc>
          <w:tcPr>
            <w:tcW w:w="230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102</w:t>
            </w:r>
          </w:p>
        </w:tc>
        <w:tc>
          <w:tcPr>
            <w:tcW w:w="5949"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14</w:t>
            </w: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2018</w:t>
            </w:r>
          </w:p>
        </w:tc>
        <w:tc>
          <w:tcPr>
            <w:tcW w:w="230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110</w:t>
            </w:r>
          </w:p>
        </w:tc>
        <w:tc>
          <w:tcPr>
            <w:tcW w:w="5949"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13</w:t>
            </w: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2019</w:t>
            </w:r>
          </w:p>
        </w:tc>
        <w:tc>
          <w:tcPr>
            <w:tcW w:w="230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127</w:t>
            </w:r>
          </w:p>
        </w:tc>
        <w:tc>
          <w:tcPr>
            <w:tcW w:w="5949"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10</w:t>
            </w: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2020</w:t>
            </w:r>
          </w:p>
        </w:tc>
        <w:tc>
          <w:tcPr>
            <w:tcW w:w="230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n.a.</w:t>
            </w:r>
          </w:p>
        </w:tc>
        <w:tc>
          <w:tcPr>
            <w:tcW w:w="5949"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n.a.</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r>
        <w:rPr>
          <w:rFonts w:ascii="Times New Roman" w:hAnsi="Times New Roman"/>
          <w:sz w:val="24"/>
        </w:rPr>
        <w:t>Forrás: TeIR, Nemzeti Munkaügyi Hivatal</w:t>
      </w: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r>
        <w:rPr>
          <w:noProof/>
          <w:lang w:eastAsia="hu-HU"/>
        </w:rPr>
        <w:drawing>
          <wp:inline distT="0" distB="0" distL="0" distR="0" wp14:anchorId="3F4C00E7" wp14:editId="61CB6FBD">
            <wp:extent cx="4486275" cy="2867025"/>
            <wp:effectExtent l="0" t="0" r="9525" b="9525"/>
            <wp:docPr id="45" name="Diagram 45">
              <a:extLst xmlns:a="http://schemas.openxmlformats.org/drawingml/2006/main">
                <a:ext uri="{FF2B5EF4-FFF2-40B4-BE49-F238E27FC236}">
                  <a16:creationId xmlns:a16="http://schemas.microsoft.com/office/drawing/2014/main" id="{00000000-0008-0000-04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i/>
          <w:iCs/>
          <w:sz w:val="24"/>
        </w:rPr>
        <w:t>b)</w:t>
      </w:r>
      <w:r>
        <w:rPr>
          <w:rFonts w:ascii="Times New Roman" w:hAnsi="Times New Roman"/>
          <w:b/>
          <w:sz w:val="24"/>
        </w:rPr>
        <w:t xml:space="preserve"> nők részvétele foglalkoztatást segítő és képzési programokban </w:t>
      </w:r>
    </w:p>
    <w:p w:rsidR="00795A46" w:rsidRDefault="00795A46" w:rsidP="00795A46">
      <w:pPr>
        <w:pStyle w:val="Tblacm"/>
        <w:rPr>
          <w:rFonts w:ascii="Times New Roman" w:hAnsi="Times New Roman"/>
          <w:sz w:val="24"/>
          <w:szCs w:val="24"/>
        </w:rPr>
      </w:pPr>
    </w:p>
    <w:p w:rsidR="00795A46" w:rsidRDefault="00795A46" w:rsidP="00795A46">
      <w:pPr>
        <w:ind w:firstLine="709"/>
        <w:rPr>
          <w:rFonts w:ascii="Times New Roman" w:hAnsi="Times New Roman"/>
          <w:color w:val="000000" w:themeColor="text1"/>
          <w:sz w:val="24"/>
        </w:rPr>
      </w:pPr>
      <w:bookmarkStart w:id="96" w:name="__RefHeading__201_1906745769"/>
      <w:bookmarkEnd w:id="96"/>
      <w:r>
        <w:rPr>
          <w:rFonts w:ascii="Times New Roman" w:hAnsi="Times New Roman"/>
          <w:sz w:val="24"/>
        </w:rPr>
        <w:t>Csorváson foglalkoztatást segítő képzés tekintetében egy felnőttképzést biztosító gimnázium működik, mely az érettségi megszerzésének lehetőségét biztosítja esti munkarend szerinti oktatással. Ez a Báthory István Gimnázium, melynek befogadó intézménye a Csorvási Gulyás Mihály Általános és Alapfokú Művészeti Iskola épülete.</w:t>
      </w:r>
      <w:r>
        <w:rPr>
          <w:rFonts w:ascii="Times New Roman" w:hAnsi="Times New Roman"/>
          <w:color w:val="000000"/>
          <w:sz w:val="24"/>
        </w:rPr>
        <w:t xml:space="preserve"> A képzésben munkavégzés mellett résztvevők nemek és korcsoportok közötti arányáról nem rendelkezünk információval, de tudjuk, hogy ez a tanulási forma kiváló lehetőséget nyújt a már dolgozó, érettségit megszerezni kívánó nőknek abban, hogy helyben szerezzenek a meglévőnél magasabb végzettséget. </w:t>
      </w:r>
    </w:p>
    <w:p w:rsidR="00795A46" w:rsidRDefault="00795A46" w:rsidP="00795A46">
      <w:pPr>
        <w:rPr>
          <w:rFonts w:ascii="Times New Roman" w:hAnsi="Times New Roman"/>
          <w:color w:val="000000"/>
          <w:sz w:val="24"/>
        </w:rPr>
      </w:pPr>
    </w:p>
    <w:p w:rsidR="00795A46" w:rsidRDefault="00795A46" w:rsidP="00795A46">
      <w:pPr>
        <w:rPr>
          <w:rFonts w:ascii="Times New Roman" w:hAnsi="Times New Roman"/>
          <w:color w:val="000000"/>
          <w:sz w:val="24"/>
        </w:rPr>
      </w:pPr>
      <w:r>
        <w:rPr>
          <w:rFonts w:ascii="Times New Roman" w:hAnsi="Times New Roman"/>
          <w:color w:val="000000"/>
          <w:sz w:val="24"/>
        </w:rPr>
        <w:t xml:space="preserve">A Csorvás Város Önkormányzata által megvalósított, ún. hosszabb idejű közfoglalkoztatás keretében foglalkoztatható 58 fős keretben jelenleg 55 főt alkalmaznak, közülük a nők aránya 63 %-os. A nők között az általános iskola 8. osztályát sikeresen elvégzettek számát nem tartjuk nyilván. A közfoglalkoztatásba bevont nők között legalább 3 fő olyan munkavállaló, aki 5 éven belül nyugdíjba vonul, további 2 fő pedig 6 éven belül. A közfoglalkoztatott nők közül gyermekét egyedülállóként neveli 1 fő. Az önkormányzati közfoglalkoztatási program keretében jelenleg nincsen tanfolyam, de a munkaügyi szervek képzési tervei között a legtöbb programévben szerepel egy-két olyan lehetőség, mely a közfoglalkoztatottak számára a szabad munkaerő-piaci foglalkoztatást elősegítő képzésben való részvétel lehetőségét biztosítja. </w:t>
      </w:r>
    </w:p>
    <w:p w:rsidR="00795A46" w:rsidRDefault="00795A46" w:rsidP="00795A46">
      <w:pPr>
        <w:autoSpaceDE w:val="0"/>
        <w:spacing w:after="20"/>
        <w:ind w:firstLine="142"/>
        <w:rPr>
          <w:rFonts w:ascii="Times New Roman" w:hAnsi="Times New Roman"/>
          <w:b/>
          <w:i/>
          <w:iCs/>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i/>
          <w:iCs/>
          <w:sz w:val="24"/>
        </w:rPr>
        <w:t>c)</w:t>
      </w:r>
      <w:r>
        <w:rPr>
          <w:rFonts w:ascii="Times New Roman" w:hAnsi="Times New Roman"/>
          <w:b/>
          <w:sz w:val="24"/>
        </w:rPr>
        <w:t xml:space="preserve"> alacsony iskolai végzettségű nők elhelyezkedési lehetőségei</w:t>
      </w:r>
    </w:p>
    <w:p w:rsidR="00795A46" w:rsidRDefault="00795A46" w:rsidP="00795A46">
      <w:pPr>
        <w:pStyle w:val="Tblacm"/>
        <w:rPr>
          <w:rFonts w:ascii="Times New Roman" w:hAnsi="Times New Roman"/>
          <w:sz w:val="24"/>
          <w:szCs w:val="24"/>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4"/>
        </w:rPr>
      </w:pPr>
      <w:bookmarkStart w:id="97" w:name="__RefHeading__203_1906745769"/>
      <w:bookmarkEnd w:id="97"/>
      <w:r>
        <w:rPr>
          <w:rFonts w:ascii="Times New Roman" w:hAnsi="Times New Roman"/>
          <w:sz w:val="24"/>
        </w:rPr>
        <w:t>Kifejezetten a nők iskolai végzettségére vonatkozóan nem rendelkezünk adattal. Mivel a 8 általános iskolát el nem végzettek átlaga a nyilvántartott álláskeresők között évente átlagosan 4 fő (ebben valószínűleg férfiak is vannak), ezért nem szükséges és nincs is általános iskolai képzés Csorváson. Nagyobb igény mutatkozik a középfokú képzésekre, ill. érettségire épülő képzésre, amelyek közül az érettségi megszerzésének igényére a Báthori István Gimnázium szolgáltatása reagál, a közeli városok érettségire épülő szakképzési kínálata pedig a legtöbb tanulni vágyó felnőtt számára megfelelő kínálattal rendelkezik.</w:t>
      </w:r>
    </w:p>
    <w:p w:rsidR="00795A46" w:rsidRDefault="00795A46" w:rsidP="00795A46">
      <w:pPr>
        <w:autoSpaceDE w:val="0"/>
        <w:spacing w:after="20"/>
        <w:rPr>
          <w:rFonts w:ascii="Times New Roman" w:hAnsi="Times New Roman"/>
          <w:i/>
          <w:iCs/>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i/>
          <w:iCs/>
          <w:sz w:val="24"/>
        </w:rPr>
        <w:t>d)</w:t>
      </w:r>
      <w:r>
        <w:rPr>
          <w:rFonts w:ascii="Times New Roman" w:hAnsi="Times New Roman"/>
          <w:b/>
          <w:sz w:val="24"/>
        </w:rPr>
        <w:t xml:space="preserve"> hátrányos megkülönböztetés a foglalkoztatás területén (pl. bérkülönbség)</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autoSpaceDE w:val="0"/>
        <w:ind w:firstLine="709"/>
        <w:rPr>
          <w:rFonts w:ascii="Times New Roman" w:hAnsi="Times New Roman"/>
          <w:sz w:val="24"/>
        </w:rPr>
      </w:pPr>
      <w:r>
        <w:rPr>
          <w:rFonts w:ascii="Times New Roman" w:hAnsi="Times New Roman"/>
          <w:sz w:val="24"/>
        </w:rPr>
        <w:t>A nők munkaerő-piaci hátrányos megkülönböztetése nehezen vizsgálható jelenség, megmutatkozhat a munkára való jelentkezéskor (ha a munkakör betöltésére mindkét nem képviselője alkalmas, és azonos kvalitásokkal is rendelkeznek, de a munkáltató mégsem szeretné a nőt alkalmazni), az azonos munkáért járó eltérő bérezésben, vagy az előmeneteli lehetőségek szűkösségében. A diszkriminációs gyakorlat visszaszorítása szempontjából fontos a foglalkoztatási viszonyok ellenőrzése, szükség esetén az Egyenlő Bánásmód Hatóság bevonása, a tájékoztató kampányok, vagy a területtel foglalkozó társadalmi szervezetekkel történő együttműködés.</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bCs/>
          <w:sz w:val="24"/>
        </w:rPr>
        <w:t>A nők kedvezőtlen munkaerő-piaci helyzete számos okra vezethető vissza. Ilyen többek között az anyaság, az iskolázottság, az életkor. E területe vonatkozóan nincs adat arról, hogy hány esetben lehetett nőket érintő hátrányos megkülönböztetés a foglalkoztatás területén. Azonban előfordulhat, hogy a munkáltató a várandóssága, gyermekei, vagy éppen kora miatt nem a női munkaerőt alkalmazta.</w:t>
      </w:r>
    </w:p>
    <w:p w:rsidR="00795A46" w:rsidRDefault="00795A46" w:rsidP="00795A46">
      <w:pPr>
        <w:autoSpaceDE w:val="0"/>
        <w:spacing w:after="20"/>
        <w:rPr>
          <w:rFonts w:ascii="Times New Roman" w:hAnsi="Times New Roman"/>
          <w:b/>
          <w:sz w:val="24"/>
        </w:rPr>
      </w:pPr>
    </w:p>
    <w:p w:rsidR="00795A46" w:rsidRDefault="00795A46" w:rsidP="00795A46">
      <w:pPr>
        <w:autoSpaceDE w:val="0"/>
        <w:spacing w:after="20"/>
        <w:rPr>
          <w:rFonts w:ascii="Times New Roman" w:hAnsi="Times New Roman"/>
          <w:b/>
          <w:sz w:val="24"/>
        </w:rPr>
      </w:pPr>
    </w:p>
    <w:p w:rsidR="00795A46" w:rsidRDefault="00795A46" w:rsidP="00795A46">
      <w:pPr>
        <w:autoSpaceDE w:val="0"/>
        <w:spacing w:after="20"/>
        <w:ind w:firstLine="142"/>
        <w:rPr>
          <w:rFonts w:ascii="Times New Roman" w:hAnsi="Times New Roman"/>
          <w:sz w:val="24"/>
        </w:rPr>
      </w:pPr>
      <w:r>
        <w:rPr>
          <w:rFonts w:ascii="Times New Roman" w:hAnsi="Times New Roman"/>
          <w:b/>
          <w:sz w:val="24"/>
        </w:rPr>
        <w:t>5.2 A munkaerő-piaci és családi feladatok összeegyeztetését segítő szolgáltatások (pl. bölcsődei, családi napközi, óvodai férőhelyek, férőhelyhiány; közintézményekben rugalmas munkaidő, családbarát munkahelyi megoldások stb.</w:t>
      </w:r>
      <w:r>
        <w:rPr>
          <w:rFonts w:ascii="Times New Roman" w:hAnsi="Times New Roman"/>
          <w:sz w:val="24"/>
        </w:rPr>
        <w:t>)</w:t>
      </w:r>
    </w:p>
    <w:p w:rsidR="00795A46" w:rsidRDefault="00795A46" w:rsidP="00795A46">
      <w:pPr>
        <w:pStyle w:val="Tblacm"/>
        <w:rPr>
          <w:rFonts w:ascii="Times New Roman" w:hAnsi="Times New Roman"/>
          <w:sz w:val="24"/>
          <w:szCs w:val="24"/>
        </w:rPr>
      </w:pPr>
    </w:p>
    <w:p w:rsidR="00795A46" w:rsidRDefault="00795A46" w:rsidP="00795A46">
      <w:pPr>
        <w:pStyle w:val="Tblacm"/>
        <w:rPr>
          <w:rFonts w:ascii="Times New Roman" w:hAnsi="Times New Roman"/>
          <w:sz w:val="24"/>
          <w:szCs w:val="24"/>
        </w:rPr>
      </w:pPr>
    </w:p>
    <w:p w:rsidR="00795A46" w:rsidRDefault="00795A46" w:rsidP="00795A46">
      <w:pPr>
        <w:pStyle w:val="NormlWeb"/>
        <w:spacing w:before="0" w:after="0"/>
        <w:ind w:firstLine="709"/>
        <w:rPr>
          <w:rFonts w:ascii="Times New Roman" w:hAnsi="Times New Roman"/>
          <w:sz w:val="24"/>
          <w:szCs w:val="24"/>
        </w:rPr>
      </w:pPr>
      <w:bookmarkStart w:id="98" w:name="__RefHeading__207_1906745769"/>
      <w:bookmarkEnd w:id="98"/>
      <w:r>
        <w:rPr>
          <w:rFonts w:ascii="Times New Roman" w:hAnsi="Times New Roman"/>
          <w:sz w:val="24"/>
        </w:rPr>
        <w:t xml:space="preserve">A nők munkaerő-piaci elhelyezkedése szempontjából lényeges a gyermekek számára nyújtott napközbeni ellátásokhoz történő hozzáférés. A településen 2010. óta biztosítják a bölcsődei ellátást, a 2 éves kor feletti gyermekek számára. Az intézmény jelenleg 24 férőhelyet biztosít a csorvási, 2-3 éves gyermekek számára. </w:t>
      </w:r>
    </w:p>
    <w:p w:rsidR="00795A46" w:rsidRDefault="00795A46" w:rsidP="00795A46">
      <w:pPr>
        <w:pStyle w:val="NormlWeb"/>
        <w:spacing w:before="0" w:after="0"/>
        <w:rPr>
          <w:rFonts w:ascii="Times New Roman" w:hAnsi="Times New Roman"/>
          <w:sz w:val="24"/>
        </w:rPr>
      </w:pPr>
      <w:r>
        <w:rPr>
          <w:rFonts w:ascii="Times New Roman" w:hAnsi="Times New Roman"/>
          <w:sz w:val="24"/>
        </w:rPr>
        <w:t>A kisgyermekesek munkaerő-piaci esélyeinek tekintetében elsődleges a gyermekeik napközbeni biztonságos elhelyezése. Ez a lehetőség Csorváson biztosított az óvodai nevelés területén, hiszen nem volt elutasított gyermek, minden óvodásba jelentkező számára biztosított az ellátás. Továbbá működik a napközi ellátás, amelynek keretében az iskolaépületben az általános iskolás korú gyermekek felügyeletét és tanórák utáni tanulását, a következő napra történő felkészítést biztosítják. Helyi anyagi és emberi erőforrások, valamint központi költségvetési támogatások és pontos jogszabályi rendelkezések hiányában azonban minden évben küzdelmes dolog az általános iskolás korú gyermekek szünidei felügyeletének megszervezése.</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highlight w:val="green"/>
        </w:rPr>
        <w:t>5.2.1. számú táblázat – Védőnői álláshelyek száma</w:t>
      </w:r>
    </w:p>
    <w:p w:rsidR="00795A46" w:rsidRDefault="00795A46" w:rsidP="00795A46">
      <w:pPr>
        <w:autoSpaceDE w:val="0"/>
        <w:spacing w:after="20"/>
        <w:ind w:firstLine="142"/>
        <w:rPr>
          <w:rFonts w:ascii="Times New Roman" w:hAnsi="Times New Roman"/>
          <w:b/>
          <w:sz w:val="24"/>
        </w:rPr>
      </w:pPr>
    </w:p>
    <w:tbl>
      <w:tblPr>
        <w:tblW w:w="9634" w:type="dxa"/>
        <w:tblCellMar>
          <w:left w:w="70" w:type="dxa"/>
          <w:right w:w="70" w:type="dxa"/>
        </w:tblCellMar>
        <w:tblLook w:val="04A0" w:firstRow="1" w:lastRow="0" w:firstColumn="1" w:lastColumn="0" w:noHBand="0" w:noVBand="1"/>
      </w:tblPr>
      <w:tblGrid>
        <w:gridCol w:w="960"/>
        <w:gridCol w:w="2080"/>
        <w:gridCol w:w="2100"/>
        <w:gridCol w:w="4494"/>
      </w:tblGrid>
      <w:tr w:rsidR="00795A46" w:rsidTr="00795A46">
        <w:trPr>
          <w:trHeight w:val="278"/>
        </w:trPr>
        <w:tc>
          <w:tcPr>
            <w:tcW w:w="960" w:type="dxa"/>
            <w:vMerge w:val="restart"/>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Év</w:t>
            </w:r>
          </w:p>
        </w:tc>
        <w:tc>
          <w:tcPr>
            <w:tcW w:w="208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Betöltött védőnői álláshelyek száma</w:t>
            </w:r>
            <w:r>
              <w:rPr>
                <w:rFonts w:cs="Calibri"/>
                <w:b/>
                <w:bCs/>
                <w:color w:val="000000"/>
                <w:szCs w:val="22"/>
                <w:lang w:eastAsia="hu-HU"/>
              </w:rPr>
              <w:br/>
            </w:r>
            <w:r>
              <w:rPr>
                <w:rFonts w:cs="Calibri"/>
                <w:color w:val="000000"/>
                <w:szCs w:val="22"/>
                <w:lang w:eastAsia="hu-HU"/>
              </w:rPr>
              <w:t>(TS 109)</w:t>
            </w:r>
          </w:p>
        </w:tc>
        <w:tc>
          <w:tcPr>
            <w:tcW w:w="210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0-3 év közötti gyermekek száma</w:t>
            </w:r>
          </w:p>
        </w:tc>
        <w:tc>
          <w:tcPr>
            <w:tcW w:w="4494"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Átlagos gyermekszám védőnőnként</w:t>
            </w:r>
          </w:p>
        </w:tc>
      </w:tr>
      <w:tr w:rsidR="00795A46" w:rsidTr="00795A46">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left"/>
              <w:rPr>
                <w:rFonts w:cs="Calibri"/>
                <w:b/>
                <w:bCs/>
                <w:color w:val="000000"/>
                <w:szCs w:val="22"/>
                <w:lang w:eastAsia="hu-HU"/>
              </w:rPr>
            </w:pPr>
          </w:p>
        </w:tc>
        <w:tc>
          <w:tcPr>
            <w:tcW w:w="208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db</w:t>
            </w:r>
          </w:p>
        </w:tc>
        <w:tc>
          <w:tcPr>
            <w:tcW w:w="210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fő</w:t>
            </w:r>
          </w:p>
        </w:tc>
        <w:tc>
          <w:tcPr>
            <w:tcW w:w="4494"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fő</w:t>
            </w: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2015</w:t>
            </w:r>
          </w:p>
        </w:tc>
        <w:tc>
          <w:tcPr>
            <w:tcW w:w="208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2</w:t>
            </w:r>
          </w:p>
        </w:tc>
        <w:tc>
          <w:tcPr>
            <w:tcW w:w="210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151</w:t>
            </w:r>
          </w:p>
        </w:tc>
        <w:tc>
          <w:tcPr>
            <w:tcW w:w="4494"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75,5</w:t>
            </w: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2016</w:t>
            </w:r>
          </w:p>
        </w:tc>
        <w:tc>
          <w:tcPr>
            <w:tcW w:w="208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2</w:t>
            </w:r>
          </w:p>
        </w:tc>
        <w:tc>
          <w:tcPr>
            <w:tcW w:w="210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167</w:t>
            </w:r>
          </w:p>
        </w:tc>
        <w:tc>
          <w:tcPr>
            <w:tcW w:w="4494"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83,5</w:t>
            </w: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2017</w:t>
            </w:r>
          </w:p>
        </w:tc>
        <w:tc>
          <w:tcPr>
            <w:tcW w:w="208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2</w:t>
            </w:r>
          </w:p>
        </w:tc>
        <w:tc>
          <w:tcPr>
            <w:tcW w:w="210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194</w:t>
            </w:r>
          </w:p>
        </w:tc>
        <w:tc>
          <w:tcPr>
            <w:tcW w:w="4494"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97</w:t>
            </w: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2018</w:t>
            </w:r>
          </w:p>
        </w:tc>
        <w:tc>
          <w:tcPr>
            <w:tcW w:w="208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2</w:t>
            </w:r>
          </w:p>
        </w:tc>
        <w:tc>
          <w:tcPr>
            <w:tcW w:w="210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181</w:t>
            </w:r>
          </w:p>
        </w:tc>
        <w:tc>
          <w:tcPr>
            <w:tcW w:w="4494"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90,5</w:t>
            </w: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2019</w:t>
            </w:r>
          </w:p>
        </w:tc>
        <w:tc>
          <w:tcPr>
            <w:tcW w:w="208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2</w:t>
            </w:r>
          </w:p>
        </w:tc>
        <w:tc>
          <w:tcPr>
            <w:tcW w:w="210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181</w:t>
            </w:r>
          </w:p>
        </w:tc>
        <w:tc>
          <w:tcPr>
            <w:tcW w:w="4494"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90,5</w:t>
            </w: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2020</w:t>
            </w:r>
          </w:p>
        </w:tc>
        <w:tc>
          <w:tcPr>
            <w:tcW w:w="208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2</w:t>
            </w:r>
          </w:p>
        </w:tc>
        <w:tc>
          <w:tcPr>
            <w:tcW w:w="210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171</w:t>
            </w:r>
          </w:p>
        </w:tc>
        <w:tc>
          <w:tcPr>
            <w:tcW w:w="4494"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85,5</w:t>
            </w:r>
          </w:p>
        </w:tc>
      </w:tr>
    </w:tbl>
    <w:p w:rsidR="00795A46" w:rsidRDefault="00795A46" w:rsidP="00795A46">
      <w:pPr>
        <w:autoSpaceDE w:val="0"/>
        <w:spacing w:after="20"/>
        <w:ind w:firstLine="142"/>
        <w:rPr>
          <w:rFonts w:ascii="Times New Roman" w:hAnsi="Times New Roman"/>
          <w:bCs/>
          <w:sz w:val="24"/>
        </w:rPr>
      </w:pPr>
    </w:p>
    <w:p w:rsidR="00795A46" w:rsidRDefault="00795A46" w:rsidP="00795A46">
      <w:pPr>
        <w:autoSpaceDE w:val="0"/>
        <w:spacing w:after="20"/>
        <w:ind w:firstLine="142"/>
        <w:rPr>
          <w:rFonts w:ascii="Times New Roman" w:hAnsi="Times New Roman"/>
          <w:bCs/>
          <w:sz w:val="24"/>
        </w:rPr>
      </w:pPr>
      <w:r>
        <w:rPr>
          <w:rFonts w:ascii="Times New Roman" w:hAnsi="Times New Roman"/>
          <w:bCs/>
          <w:sz w:val="24"/>
        </w:rPr>
        <w:t>Forrás: TeIR, KSH Tstar</w:t>
      </w:r>
    </w:p>
    <w:p w:rsidR="00795A46" w:rsidRDefault="00795A46" w:rsidP="00795A46">
      <w:pPr>
        <w:autoSpaceDE w:val="0"/>
        <w:spacing w:after="20"/>
        <w:rPr>
          <w:rFonts w:ascii="Times New Roman" w:hAnsi="Times New Roman"/>
          <w:bCs/>
          <w:sz w:val="24"/>
        </w:rPr>
      </w:pPr>
    </w:p>
    <w:p w:rsidR="00795A46" w:rsidRDefault="00795A46" w:rsidP="00795A46">
      <w:pPr>
        <w:autoSpaceDE w:val="0"/>
        <w:spacing w:after="20"/>
        <w:ind w:firstLine="142"/>
        <w:rPr>
          <w:rFonts w:ascii="Times New Roman" w:hAnsi="Times New Roman"/>
          <w:bCs/>
          <w:sz w:val="24"/>
        </w:rPr>
      </w:pPr>
      <w:r>
        <w:rPr>
          <w:noProof/>
          <w:lang w:eastAsia="hu-HU"/>
        </w:rPr>
        <w:drawing>
          <wp:inline distT="0" distB="0" distL="0" distR="0" wp14:anchorId="548A9873" wp14:editId="6407581B">
            <wp:extent cx="4105275" cy="2781300"/>
            <wp:effectExtent l="0" t="0" r="9525" b="0"/>
            <wp:docPr id="44" name="Diagram 44">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95A46" w:rsidRDefault="00795A46" w:rsidP="00795A46">
      <w:pPr>
        <w:autoSpaceDE w:val="0"/>
        <w:spacing w:after="20"/>
        <w:ind w:firstLine="142"/>
        <w:rPr>
          <w:rFonts w:ascii="Times New Roman" w:hAnsi="Times New Roman"/>
          <w:bCs/>
          <w:sz w:val="24"/>
        </w:rPr>
      </w:pPr>
    </w:p>
    <w:p w:rsidR="00795A46" w:rsidRDefault="00795A46" w:rsidP="00795A46">
      <w:pPr>
        <w:autoSpaceDE w:val="0"/>
        <w:spacing w:after="20"/>
        <w:ind w:firstLine="142"/>
        <w:rPr>
          <w:rFonts w:ascii="Times New Roman" w:hAnsi="Times New Roman"/>
          <w:bCs/>
          <w:sz w:val="24"/>
        </w:rPr>
      </w:pPr>
      <w:r>
        <w:rPr>
          <w:noProof/>
          <w:lang w:eastAsia="hu-HU"/>
        </w:rPr>
        <w:drawing>
          <wp:inline distT="0" distB="0" distL="0" distR="0" wp14:anchorId="08CBE5F8" wp14:editId="11420CA0">
            <wp:extent cx="4076700" cy="2876550"/>
            <wp:effectExtent l="0" t="0" r="0" b="0"/>
            <wp:docPr id="43" name="Diagram 43">
              <a:extLst xmlns:a="http://schemas.openxmlformats.org/drawingml/2006/main">
                <a:ext uri="{FF2B5EF4-FFF2-40B4-BE49-F238E27FC236}">
                  <a16:creationId xmlns:a16="http://schemas.microsoft.com/office/drawing/2014/main" id="{00000000-0008-0000-04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95A46" w:rsidRDefault="00795A46" w:rsidP="00795A46">
      <w:pPr>
        <w:autoSpaceDE w:val="0"/>
        <w:spacing w:after="20"/>
        <w:ind w:firstLine="142"/>
        <w:rPr>
          <w:rFonts w:ascii="Times New Roman" w:hAnsi="Times New Roman"/>
          <w:bCs/>
          <w:sz w:val="24"/>
        </w:rPr>
      </w:pPr>
    </w:p>
    <w:p w:rsidR="00795A46" w:rsidRDefault="00795A46" w:rsidP="00795A46">
      <w:pPr>
        <w:autoSpaceDE w:val="0"/>
        <w:spacing w:after="20"/>
        <w:rPr>
          <w:rFonts w:ascii="Times New Roman" w:hAnsi="Times New Roman"/>
          <w:bCs/>
          <w:sz w:val="24"/>
        </w:rPr>
      </w:pPr>
      <w:r>
        <w:rPr>
          <w:rFonts w:ascii="Times New Roman" w:hAnsi="Times New Roman"/>
          <w:bCs/>
          <w:sz w:val="24"/>
        </w:rPr>
        <w:t xml:space="preserve">A hungarikumok közé sorolt területi védőnői ellátás megszervezéséből Csorvás Város Önkormányzata is kiveszi a részét. A Védőnői Szolgálat épülete a közelmúltban megújult. A településen már kimutatható méretű a születésszám változása, az utóbbi tíz évben annak kismértékű növekedése. A két főállású védőnő körzetébe sorolt kisgyermekek és szüleik bizonyosan hozzájutnak a szakmailag megfelelő ellátáshoz, gondozáshoz az ifjú, sokszor még tapasztalatlan anyák örömére. </w:t>
      </w:r>
    </w:p>
    <w:p w:rsidR="00795A46" w:rsidRDefault="00795A46" w:rsidP="00795A46">
      <w:pPr>
        <w:autoSpaceDE w:val="0"/>
        <w:spacing w:after="20"/>
        <w:rPr>
          <w:rFonts w:ascii="Times New Roman" w:hAnsi="Times New Roman"/>
          <w:b/>
          <w:sz w:val="24"/>
        </w:rPr>
      </w:pPr>
    </w:p>
    <w:p w:rsidR="00795A46" w:rsidRDefault="00795A46" w:rsidP="00795A46">
      <w:pPr>
        <w:autoSpaceDE w:val="0"/>
        <w:spacing w:after="20"/>
        <w:rPr>
          <w:rFonts w:ascii="Times New Roman" w:hAnsi="Times New Roman"/>
          <w:bCs/>
          <w:sz w:val="24"/>
        </w:rPr>
      </w:pPr>
      <w:r>
        <w:rPr>
          <w:rFonts w:ascii="Times New Roman" w:hAnsi="Times New Roman"/>
          <w:bCs/>
          <w:sz w:val="24"/>
          <w:highlight w:val="green"/>
        </w:rPr>
        <w:t>5.2.2. a) Bölcsődék és bölcsődébe beíratott gyermekek száma</w:t>
      </w:r>
    </w:p>
    <w:p w:rsidR="00795A46" w:rsidRDefault="00795A46" w:rsidP="00795A46">
      <w:pPr>
        <w:autoSpaceDE w:val="0"/>
        <w:spacing w:after="20"/>
        <w:rPr>
          <w:rFonts w:ascii="Times New Roman" w:hAnsi="Times New Roman"/>
          <w:bCs/>
          <w:sz w:val="24"/>
        </w:rPr>
      </w:pPr>
    </w:p>
    <w:tbl>
      <w:tblPr>
        <w:tblW w:w="9067" w:type="dxa"/>
        <w:tblCellMar>
          <w:left w:w="70" w:type="dxa"/>
          <w:right w:w="70" w:type="dxa"/>
        </w:tblCellMar>
        <w:tblLook w:val="04A0" w:firstRow="1" w:lastRow="0" w:firstColumn="1" w:lastColumn="0" w:noHBand="0" w:noVBand="1"/>
      </w:tblPr>
      <w:tblGrid>
        <w:gridCol w:w="1600"/>
        <w:gridCol w:w="3498"/>
        <w:gridCol w:w="3969"/>
      </w:tblGrid>
      <w:tr w:rsidR="00795A46" w:rsidTr="00795A46">
        <w:trPr>
          <w:trHeight w:val="677"/>
        </w:trPr>
        <w:tc>
          <w:tcPr>
            <w:tcW w:w="1600" w:type="dxa"/>
            <w:vMerge w:val="restart"/>
            <w:tcBorders>
              <w:top w:val="single" w:sz="4" w:space="0" w:color="auto"/>
              <w:left w:val="single" w:sz="4" w:space="0" w:color="auto"/>
              <w:bottom w:val="single" w:sz="4" w:space="0" w:color="000000"/>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Év</w:t>
            </w:r>
          </w:p>
        </w:tc>
        <w:tc>
          <w:tcPr>
            <w:tcW w:w="3498"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Működő, önkormányzati bölcsődei férőhelyek száma</w:t>
            </w:r>
          </w:p>
        </w:tc>
        <w:tc>
          <w:tcPr>
            <w:tcW w:w="3969"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Önkormányzati bölcsődébe beírt gyerekek száma</w:t>
            </w:r>
          </w:p>
        </w:tc>
      </w:tr>
      <w:tr w:rsidR="00795A46" w:rsidTr="00795A46">
        <w:trPr>
          <w:trHeight w:val="276"/>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spacing w:line="256" w:lineRule="auto"/>
              <w:jc w:val="left"/>
              <w:rPr>
                <w:rFonts w:cs="Calibri"/>
                <w:b/>
                <w:bCs/>
                <w:szCs w:val="22"/>
                <w:lang w:eastAsia="hu-HU"/>
              </w:rPr>
            </w:pPr>
          </w:p>
        </w:tc>
        <w:tc>
          <w:tcPr>
            <w:tcW w:w="3498"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db</w:t>
            </w:r>
          </w:p>
        </w:tc>
        <w:tc>
          <w:tcPr>
            <w:tcW w:w="3969"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Fő</w:t>
            </w:r>
          </w:p>
        </w:tc>
      </w:tr>
      <w:tr w:rsidR="00795A46" w:rsidTr="00795A46">
        <w:trPr>
          <w:trHeight w:val="300"/>
        </w:trPr>
        <w:tc>
          <w:tcPr>
            <w:tcW w:w="16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2015</w:t>
            </w:r>
          </w:p>
        </w:tc>
        <w:tc>
          <w:tcPr>
            <w:tcW w:w="349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w:t>
            </w:r>
          </w:p>
        </w:tc>
        <w:tc>
          <w:tcPr>
            <w:tcW w:w="3969"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w:t>
            </w:r>
          </w:p>
        </w:tc>
      </w:tr>
      <w:tr w:rsidR="00795A46" w:rsidTr="00795A46">
        <w:trPr>
          <w:trHeight w:val="300"/>
        </w:trPr>
        <w:tc>
          <w:tcPr>
            <w:tcW w:w="16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2016</w:t>
            </w:r>
          </w:p>
        </w:tc>
        <w:tc>
          <w:tcPr>
            <w:tcW w:w="349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w:t>
            </w:r>
          </w:p>
        </w:tc>
        <w:tc>
          <w:tcPr>
            <w:tcW w:w="3969"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w:t>
            </w:r>
          </w:p>
        </w:tc>
      </w:tr>
      <w:tr w:rsidR="00795A46" w:rsidTr="00795A46">
        <w:trPr>
          <w:trHeight w:val="300"/>
        </w:trPr>
        <w:tc>
          <w:tcPr>
            <w:tcW w:w="16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2017</w:t>
            </w:r>
          </w:p>
        </w:tc>
        <w:tc>
          <w:tcPr>
            <w:tcW w:w="349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w:t>
            </w:r>
          </w:p>
        </w:tc>
        <w:tc>
          <w:tcPr>
            <w:tcW w:w="3969"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w:t>
            </w:r>
          </w:p>
        </w:tc>
      </w:tr>
      <w:tr w:rsidR="00795A46" w:rsidTr="00795A46">
        <w:trPr>
          <w:trHeight w:val="300"/>
        </w:trPr>
        <w:tc>
          <w:tcPr>
            <w:tcW w:w="16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2018</w:t>
            </w:r>
          </w:p>
        </w:tc>
        <w:tc>
          <w:tcPr>
            <w:tcW w:w="349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w:t>
            </w:r>
          </w:p>
        </w:tc>
        <w:tc>
          <w:tcPr>
            <w:tcW w:w="3969"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w:t>
            </w:r>
          </w:p>
        </w:tc>
      </w:tr>
      <w:tr w:rsidR="00795A46" w:rsidTr="00795A46">
        <w:trPr>
          <w:trHeight w:val="300"/>
        </w:trPr>
        <w:tc>
          <w:tcPr>
            <w:tcW w:w="16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2019</w:t>
            </w:r>
          </w:p>
        </w:tc>
        <w:tc>
          <w:tcPr>
            <w:tcW w:w="349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24</w:t>
            </w:r>
          </w:p>
        </w:tc>
        <w:tc>
          <w:tcPr>
            <w:tcW w:w="3969"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22</w:t>
            </w:r>
          </w:p>
        </w:tc>
      </w:tr>
      <w:tr w:rsidR="00795A46" w:rsidTr="00795A46">
        <w:trPr>
          <w:trHeight w:val="300"/>
        </w:trPr>
        <w:tc>
          <w:tcPr>
            <w:tcW w:w="16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2020</w:t>
            </w:r>
          </w:p>
        </w:tc>
        <w:tc>
          <w:tcPr>
            <w:tcW w:w="349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24</w:t>
            </w:r>
          </w:p>
        </w:tc>
        <w:tc>
          <w:tcPr>
            <w:tcW w:w="3969"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22</w:t>
            </w:r>
          </w:p>
        </w:tc>
      </w:tr>
    </w:tbl>
    <w:p w:rsidR="00795A46" w:rsidRDefault="00795A46" w:rsidP="00795A46">
      <w:pPr>
        <w:autoSpaceDE w:val="0"/>
        <w:spacing w:after="20"/>
        <w:rPr>
          <w:rFonts w:ascii="Times New Roman" w:hAnsi="Times New Roman"/>
          <w:bCs/>
          <w:sz w:val="24"/>
        </w:rPr>
      </w:pPr>
    </w:p>
    <w:p w:rsidR="00795A46" w:rsidRDefault="00795A46" w:rsidP="00795A46">
      <w:pPr>
        <w:autoSpaceDE w:val="0"/>
        <w:spacing w:after="20"/>
        <w:ind w:firstLine="142"/>
        <w:rPr>
          <w:rFonts w:ascii="Times New Roman" w:hAnsi="Times New Roman"/>
          <w:bCs/>
          <w:sz w:val="24"/>
        </w:rPr>
      </w:pPr>
      <w:r>
        <w:rPr>
          <w:rFonts w:ascii="Times New Roman" w:hAnsi="Times New Roman"/>
          <w:bCs/>
          <w:sz w:val="24"/>
        </w:rPr>
        <w:t>Forrás: Önkormányzati és intézményi adatgyűjtés</w:t>
      </w:r>
    </w:p>
    <w:p w:rsidR="00795A46" w:rsidRDefault="00795A46" w:rsidP="00795A46">
      <w:pPr>
        <w:autoSpaceDE w:val="0"/>
        <w:spacing w:after="20"/>
        <w:rPr>
          <w:rFonts w:ascii="Times New Roman" w:hAnsi="Times New Roman"/>
          <w:bCs/>
          <w:sz w:val="24"/>
        </w:rPr>
      </w:pPr>
    </w:p>
    <w:p w:rsidR="00795A46" w:rsidRDefault="00795A46" w:rsidP="00795A46">
      <w:pPr>
        <w:autoSpaceDE w:val="0"/>
        <w:spacing w:after="20"/>
        <w:rPr>
          <w:rFonts w:ascii="Times New Roman" w:hAnsi="Times New Roman"/>
          <w:bCs/>
          <w:sz w:val="24"/>
        </w:rPr>
      </w:pPr>
      <w:r>
        <w:rPr>
          <w:noProof/>
          <w:lang w:eastAsia="hu-HU"/>
        </w:rPr>
        <w:drawing>
          <wp:inline distT="0" distB="0" distL="0" distR="0" wp14:anchorId="2DEB0C13" wp14:editId="2D3B065A">
            <wp:extent cx="4495800" cy="2867025"/>
            <wp:effectExtent l="0" t="0" r="0" b="9525"/>
            <wp:docPr id="42" name="Diagram 42">
              <a:extLst xmlns:a="http://schemas.openxmlformats.org/drawingml/2006/main">
                <a:ext uri="{FF2B5EF4-FFF2-40B4-BE49-F238E27FC236}">
                  <a16:creationId xmlns:a16="http://schemas.microsoft.com/office/drawing/2014/main" id="{00000000-0008-0000-04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95A46" w:rsidRDefault="00795A46" w:rsidP="00795A46">
      <w:pPr>
        <w:autoSpaceDE w:val="0"/>
        <w:spacing w:after="20"/>
        <w:rPr>
          <w:rFonts w:ascii="Times New Roman" w:hAnsi="Times New Roman"/>
          <w:bCs/>
          <w:sz w:val="24"/>
        </w:rPr>
      </w:pPr>
    </w:p>
    <w:p w:rsidR="00795A46" w:rsidRDefault="00795A46" w:rsidP="00795A46">
      <w:pPr>
        <w:autoSpaceDE w:val="0"/>
        <w:spacing w:after="20"/>
        <w:rPr>
          <w:rFonts w:ascii="Times New Roman" w:hAnsi="Times New Roman"/>
          <w:bCs/>
          <w:sz w:val="24"/>
        </w:rPr>
      </w:pPr>
      <w:r>
        <w:rPr>
          <w:rFonts w:ascii="Times New Roman" w:hAnsi="Times New Roman"/>
          <w:bCs/>
          <w:sz w:val="24"/>
        </w:rPr>
        <w:t>Az önkormányzat a bölcsődei ellátást Bocskai utcai óvodaépületben helyezte el, 2009-től egy csoporttal működött. Azóta újabb csoportszobával gyarapodott az ellátás és 20 gyermeknek biztosítottak ellátást. 2019-től a két 10 csoport is kevésnek bizonyult, 24 férőhelyre emelték annak kapacitását. Mióta azonban ez is „teltházas”, az önkormányzat pályázatot nyújtott be egy mini bölcsőde megépítésére a jelenlegi bölcsődeépület udvarára építve, amelyet terveink szerint 2022. novemberében meg is nyitunk a kisgyermekek számára, ahol további 8 csöppséget gondozhatnak majd.</w:t>
      </w:r>
    </w:p>
    <w:p w:rsidR="00795A46" w:rsidRDefault="00795A46" w:rsidP="00795A46">
      <w:pPr>
        <w:autoSpaceDE w:val="0"/>
        <w:spacing w:after="20"/>
        <w:rPr>
          <w:rFonts w:ascii="Times New Roman" w:hAnsi="Times New Roman"/>
          <w:bCs/>
          <w:sz w:val="24"/>
        </w:rPr>
      </w:pPr>
    </w:p>
    <w:p w:rsidR="00795A46" w:rsidRDefault="00795A46" w:rsidP="00795A46">
      <w:pPr>
        <w:autoSpaceDE w:val="0"/>
        <w:spacing w:after="20"/>
        <w:rPr>
          <w:rFonts w:ascii="Times New Roman" w:hAnsi="Times New Roman"/>
          <w:bCs/>
          <w:sz w:val="24"/>
        </w:rPr>
      </w:pPr>
      <w:r>
        <w:rPr>
          <w:rFonts w:ascii="Times New Roman" w:hAnsi="Times New Roman"/>
          <w:bCs/>
          <w:sz w:val="24"/>
        </w:rPr>
        <w:t xml:space="preserve"> </w:t>
      </w:r>
      <w:r>
        <w:rPr>
          <w:rFonts w:ascii="Times New Roman" w:hAnsi="Times New Roman"/>
          <w:bCs/>
          <w:sz w:val="24"/>
          <w:highlight w:val="green"/>
        </w:rPr>
        <w:t>5.2.2. b) Bölcsődék és bölcsődébe beíratott gyermekek száma</w:t>
      </w:r>
    </w:p>
    <w:tbl>
      <w:tblPr>
        <w:tblW w:w="9240" w:type="dxa"/>
        <w:tblLayout w:type="fixed"/>
        <w:tblCellMar>
          <w:left w:w="70" w:type="dxa"/>
          <w:right w:w="70" w:type="dxa"/>
        </w:tblCellMar>
        <w:tblLook w:val="04A0" w:firstRow="1" w:lastRow="0" w:firstColumn="1" w:lastColumn="0" w:noHBand="0" w:noVBand="1"/>
      </w:tblPr>
      <w:tblGrid>
        <w:gridCol w:w="701"/>
        <w:gridCol w:w="1137"/>
        <w:gridCol w:w="991"/>
        <w:gridCol w:w="1133"/>
        <w:gridCol w:w="1275"/>
        <w:gridCol w:w="991"/>
        <w:gridCol w:w="992"/>
        <w:gridCol w:w="991"/>
        <w:gridCol w:w="1029"/>
      </w:tblGrid>
      <w:tr w:rsidR="00795A46" w:rsidTr="00795A46">
        <w:trPr>
          <w:trHeight w:val="2126"/>
        </w:trPr>
        <w:tc>
          <w:tcPr>
            <w:tcW w:w="700" w:type="dxa"/>
            <w:vMerge w:val="restart"/>
            <w:tcBorders>
              <w:top w:val="single" w:sz="4" w:space="0" w:color="auto"/>
              <w:left w:val="single" w:sz="4" w:space="0" w:color="auto"/>
              <w:bottom w:val="single" w:sz="4" w:space="0" w:color="000000"/>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Év</w:t>
            </w:r>
          </w:p>
        </w:tc>
        <w:tc>
          <w:tcPr>
            <w:tcW w:w="1138"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Működő munkahelyi bölcsődei férőhelyek száma</w:t>
            </w:r>
            <w:r>
              <w:rPr>
                <w:rFonts w:cs="Calibri"/>
                <w:szCs w:val="22"/>
                <w:lang w:eastAsia="hu-HU"/>
              </w:rPr>
              <w:t xml:space="preserve"> (TS 126)</w:t>
            </w:r>
          </w:p>
        </w:tc>
        <w:tc>
          <w:tcPr>
            <w:tcW w:w="992"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Munkahelyi bölcsődébe beírt gyerekek száma</w:t>
            </w:r>
            <w:r>
              <w:rPr>
                <w:rFonts w:cs="Calibri"/>
                <w:szCs w:val="22"/>
                <w:lang w:eastAsia="hu-HU"/>
              </w:rPr>
              <w:t xml:space="preserve"> (TS 122)</w:t>
            </w:r>
          </w:p>
        </w:tc>
        <w:tc>
          <w:tcPr>
            <w:tcW w:w="1134"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 xml:space="preserve">Működő családi bölcsödei  férőhelyek száma </w:t>
            </w:r>
            <w:r>
              <w:rPr>
                <w:rFonts w:cs="Calibri"/>
                <w:b/>
                <w:bCs/>
                <w:szCs w:val="22"/>
                <w:lang w:eastAsia="hu-HU"/>
              </w:rPr>
              <w:br/>
            </w:r>
            <w:r>
              <w:rPr>
                <w:rFonts w:cs="Calibri"/>
                <w:szCs w:val="22"/>
                <w:lang w:eastAsia="hu-HU"/>
              </w:rPr>
              <w:t>(TS 125)</w:t>
            </w:r>
          </w:p>
        </w:tc>
        <w:tc>
          <w:tcPr>
            <w:tcW w:w="1276"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Családi bölcsődébe beírt gyerekek száma</w:t>
            </w:r>
            <w:r>
              <w:rPr>
                <w:rFonts w:cs="Calibri"/>
                <w:szCs w:val="22"/>
                <w:lang w:eastAsia="hu-HU"/>
              </w:rPr>
              <w:t xml:space="preserve"> (TS 121)</w:t>
            </w:r>
          </w:p>
        </w:tc>
        <w:tc>
          <w:tcPr>
            <w:tcW w:w="992"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 xml:space="preserve">Működő mini bölcsődei férőhelyek száma </w:t>
            </w:r>
            <w:r>
              <w:rPr>
                <w:rFonts w:cs="Calibri"/>
                <w:szCs w:val="22"/>
                <w:lang w:eastAsia="hu-HU"/>
              </w:rPr>
              <w:t>(TS 127)</w:t>
            </w:r>
          </w:p>
        </w:tc>
        <w:tc>
          <w:tcPr>
            <w:tcW w:w="993"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 xml:space="preserve">Mini bölcsődébe beírt gyerekek száma </w:t>
            </w:r>
            <w:r>
              <w:rPr>
                <w:rFonts w:cs="Calibri"/>
                <w:szCs w:val="22"/>
                <w:lang w:eastAsia="hu-HU"/>
              </w:rPr>
              <w:t>(TS 123)</w:t>
            </w:r>
          </w:p>
        </w:tc>
        <w:tc>
          <w:tcPr>
            <w:tcW w:w="992"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 xml:space="preserve">Működő (összes) bölcsődei férőhelyek száma </w:t>
            </w:r>
            <w:r>
              <w:rPr>
                <w:rFonts w:cs="Calibri"/>
                <w:szCs w:val="22"/>
                <w:lang w:eastAsia="hu-HU"/>
              </w:rPr>
              <w:t>(TS 124)</w:t>
            </w:r>
          </w:p>
        </w:tc>
        <w:tc>
          <w:tcPr>
            <w:tcW w:w="103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Bölcsődébe (összes) beírt gyermekek száma</w:t>
            </w:r>
            <w:r>
              <w:rPr>
                <w:rFonts w:cs="Calibri"/>
                <w:b/>
                <w:bCs/>
                <w:szCs w:val="22"/>
                <w:lang w:eastAsia="hu-HU"/>
              </w:rPr>
              <w:br/>
            </w:r>
            <w:r>
              <w:rPr>
                <w:rFonts w:cs="Calibri"/>
                <w:szCs w:val="22"/>
                <w:lang w:eastAsia="hu-HU"/>
              </w:rPr>
              <w:t>(TS 120)</w:t>
            </w:r>
          </w:p>
        </w:tc>
      </w:tr>
      <w:tr w:rsidR="00795A46" w:rsidTr="00795A46">
        <w:trPr>
          <w:trHeight w:val="270"/>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spacing w:line="256" w:lineRule="auto"/>
              <w:jc w:val="left"/>
              <w:rPr>
                <w:rFonts w:cs="Calibri"/>
                <w:b/>
                <w:bCs/>
                <w:szCs w:val="22"/>
                <w:lang w:eastAsia="hu-HU"/>
              </w:rPr>
            </w:pPr>
          </w:p>
        </w:tc>
        <w:tc>
          <w:tcPr>
            <w:tcW w:w="1138"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db</w:t>
            </w:r>
          </w:p>
        </w:tc>
        <w:tc>
          <w:tcPr>
            <w:tcW w:w="992"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Fő</w:t>
            </w:r>
          </w:p>
        </w:tc>
        <w:tc>
          <w:tcPr>
            <w:tcW w:w="1134"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db</w:t>
            </w:r>
          </w:p>
        </w:tc>
        <w:tc>
          <w:tcPr>
            <w:tcW w:w="1276"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Fő</w:t>
            </w:r>
          </w:p>
        </w:tc>
        <w:tc>
          <w:tcPr>
            <w:tcW w:w="992"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db</w:t>
            </w:r>
          </w:p>
        </w:tc>
        <w:tc>
          <w:tcPr>
            <w:tcW w:w="993"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Fő</w:t>
            </w:r>
          </w:p>
        </w:tc>
        <w:tc>
          <w:tcPr>
            <w:tcW w:w="992"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db</w:t>
            </w:r>
          </w:p>
        </w:tc>
        <w:tc>
          <w:tcPr>
            <w:tcW w:w="103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Fő</w:t>
            </w:r>
          </w:p>
        </w:tc>
      </w:tr>
      <w:tr w:rsidR="00795A46" w:rsidTr="00795A46">
        <w:trPr>
          <w:trHeight w:val="300"/>
        </w:trPr>
        <w:tc>
          <w:tcPr>
            <w:tcW w:w="7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2015</w:t>
            </w:r>
          </w:p>
        </w:tc>
        <w:tc>
          <w:tcPr>
            <w:tcW w:w="113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113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127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3"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w:t>
            </w:r>
          </w:p>
        </w:tc>
        <w:tc>
          <w:tcPr>
            <w:tcW w:w="103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r>
      <w:tr w:rsidR="00795A46" w:rsidTr="00795A46">
        <w:trPr>
          <w:trHeight w:val="300"/>
        </w:trPr>
        <w:tc>
          <w:tcPr>
            <w:tcW w:w="7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2016</w:t>
            </w:r>
          </w:p>
        </w:tc>
        <w:tc>
          <w:tcPr>
            <w:tcW w:w="113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113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127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3"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w:t>
            </w:r>
          </w:p>
        </w:tc>
        <w:tc>
          <w:tcPr>
            <w:tcW w:w="103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r>
      <w:tr w:rsidR="00795A46" w:rsidTr="00795A46">
        <w:trPr>
          <w:trHeight w:val="300"/>
        </w:trPr>
        <w:tc>
          <w:tcPr>
            <w:tcW w:w="7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2017</w:t>
            </w:r>
          </w:p>
        </w:tc>
        <w:tc>
          <w:tcPr>
            <w:tcW w:w="113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113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127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3"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w:t>
            </w:r>
          </w:p>
        </w:tc>
        <w:tc>
          <w:tcPr>
            <w:tcW w:w="103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w:t>
            </w:r>
          </w:p>
        </w:tc>
      </w:tr>
      <w:tr w:rsidR="00795A46" w:rsidTr="00795A46">
        <w:trPr>
          <w:trHeight w:val="300"/>
        </w:trPr>
        <w:tc>
          <w:tcPr>
            <w:tcW w:w="7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2018</w:t>
            </w:r>
          </w:p>
        </w:tc>
        <w:tc>
          <w:tcPr>
            <w:tcW w:w="113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113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127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3"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w:t>
            </w:r>
          </w:p>
        </w:tc>
        <w:tc>
          <w:tcPr>
            <w:tcW w:w="103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w:t>
            </w:r>
          </w:p>
        </w:tc>
      </w:tr>
      <w:tr w:rsidR="00795A46" w:rsidTr="00795A46">
        <w:trPr>
          <w:trHeight w:val="300"/>
        </w:trPr>
        <w:tc>
          <w:tcPr>
            <w:tcW w:w="7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2019</w:t>
            </w:r>
          </w:p>
        </w:tc>
        <w:tc>
          <w:tcPr>
            <w:tcW w:w="113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113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127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3"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24</w:t>
            </w:r>
          </w:p>
        </w:tc>
        <w:tc>
          <w:tcPr>
            <w:tcW w:w="103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22</w:t>
            </w:r>
          </w:p>
        </w:tc>
      </w:tr>
      <w:tr w:rsidR="00795A46" w:rsidTr="00795A46">
        <w:trPr>
          <w:trHeight w:val="300"/>
        </w:trPr>
        <w:tc>
          <w:tcPr>
            <w:tcW w:w="7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2020</w:t>
            </w:r>
          </w:p>
        </w:tc>
        <w:tc>
          <w:tcPr>
            <w:tcW w:w="113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113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127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3"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24</w:t>
            </w:r>
          </w:p>
        </w:tc>
        <w:tc>
          <w:tcPr>
            <w:tcW w:w="103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22</w:t>
            </w:r>
          </w:p>
        </w:tc>
      </w:tr>
    </w:tbl>
    <w:p w:rsidR="00795A46" w:rsidRDefault="00795A46" w:rsidP="00795A46">
      <w:pPr>
        <w:autoSpaceDE w:val="0"/>
        <w:spacing w:after="20"/>
        <w:rPr>
          <w:rFonts w:ascii="Times New Roman" w:hAnsi="Times New Roman"/>
          <w:bCs/>
          <w:sz w:val="24"/>
        </w:rPr>
      </w:pPr>
    </w:p>
    <w:p w:rsidR="00795A46" w:rsidRDefault="00795A46" w:rsidP="00795A46">
      <w:pPr>
        <w:autoSpaceDE w:val="0"/>
        <w:spacing w:after="20"/>
        <w:rPr>
          <w:rFonts w:ascii="Times New Roman" w:hAnsi="Times New Roman"/>
          <w:bCs/>
          <w:szCs w:val="22"/>
        </w:rPr>
      </w:pPr>
      <w:r>
        <w:rPr>
          <w:rFonts w:ascii="Times New Roman" w:hAnsi="Times New Roman"/>
          <w:bCs/>
          <w:szCs w:val="22"/>
        </w:rPr>
        <w:t>Forrás: TeIR, KSH Tstar</w:t>
      </w:r>
    </w:p>
    <w:p w:rsidR="00795A46" w:rsidRDefault="00795A46" w:rsidP="00795A46">
      <w:pPr>
        <w:autoSpaceDE w:val="0"/>
        <w:spacing w:after="20"/>
        <w:rPr>
          <w:rFonts w:ascii="Times New Roman" w:hAnsi="Times New Roman"/>
          <w:bCs/>
          <w:szCs w:val="22"/>
        </w:rPr>
      </w:pPr>
    </w:p>
    <w:p w:rsidR="00795A46" w:rsidRDefault="00795A46" w:rsidP="00795A46">
      <w:pPr>
        <w:autoSpaceDE w:val="0"/>
        <w:spacing w:after="20"/>
        <w:rPr>
          <w:rFonts w:ascii="Times New Roman" w:hAnsi="Times New Roman"/>
          <w:bCs/>
          <w:sz w:val="24"/>
        </w:rPr>
      </w:pPr>
      <w:r>
        <w:rPr>
          <w:noProof/>
          <w:lang w:eastAsia="hu-HU"/>
        </w:rPr>
        <w:drawing>
          <wp:inline distT="0" distB="0" distL="0" distR="0" wp14:anchorId="4C6F6F2E" wp14:editId="6A09124C">
            <wp:extent cx="4248150" cy="5210175"/>
            <wp:effectExtent l="0" t="0" r="0" b="9525"/>
            <wp:docPr id="41" name="Diagram 41">
              <a:extLst xmlns:a="http://schemas.openxmlformats.org/drawingml/2006/main">
                <a:ext uri="{FF2B5EF4-FFF2-40B4-BE49-F238E27FC236}">
                  <a16:creationId xmlns:a16="http://schemas.microsoft.com/office/drawing/2014/main" id="{00000000-0008-0000-04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95A46" w:rsidRDefault="00795A46" w:rsidP="00795A46">
      <w:pPr>
        <w:autoSpaceDE w:val="0"/>
        <w:spacing w:after="20"/>
        <w:rPr>
          <w:rFonts w:ascii="Times New Roman" w:hAnsi="Times New Roman"/>
          <w:bCs/>
          <w:sz w:val="24"/>
        </w:rPr>
      </w:pPr>
    </w:p>
    <w:p w:rsidR="00795A46" w:rsidRDefault="00795A46" w:rsidP="00795A46">
      <w:pPr>
        <w:autoSpaceDE w:val="0"/>
        <w:spacing w:after="20"/>
        <w:ind w:firstLine="709"/>
        <w:rPr>
          <w:rFonts w:ascii="Times New Roman" w:hAnsi="Times New Roman"/>
          <w:bCs/>
          <w:sz w:val="24"/>
        </w:rPr>
      </w:pPr>
      <w:r>
        <w:rPr>
          <w:rFonts w:ascii="Times New Roman" w:hAnsi="Times New Roman"/>
          <w:bCs/>
          <w:sz w:val="24"/>
        </w:rPr>
        <w:t>A települési önkormányzat mindent megtesz azért, hogy azok a szülők, akik igénylik bölcsődéskorú gyermekük felügyeletét, hozzájuthassanak ehhez a szolgáltatáshoz. Az ellátás iránti igény egyre növekszik, de a szolgáltatás nyújtására alkalmas ingatlan kevés, az ellátást biztosító eszközök korlátozottak, valamint a kisgyermeknevelők létszáma is kevés. Ennek ellenére törekszünk a fejlesztésre, amelynek keretében a közeljövőben megvalósul az önkormányzat mini bölcsőde építési beruházása.</w:t>
      </w:r>
    </w:p>
    <w:p w:rsidR="00795A46" w:rsidRDefault="00795A46" w:rsidP="00795A46">
      <w:pPr>
        <w:autoSpaceDE w:val="0"/>
        <w:spacing w:after="20"/>
        <w:rPr>
          <w:rFonts w:ascii="Times New Roman" w:hAnsi="Times New Roman"/>
          <w:bCs/>
          <w:sz w:val="24"/>
        </w:rPr>
      </w:pPr>
    </w:p>
    <w:p w:rsidR="00795A46" w:rsidRDefault="00795A46" w:rsidP="00795A46">
      <w:pPr>
        <w:autoSpaceDE w:val="0"/>
        <w:spacing w:after="20"/>
        <w:rPr>
          <w:rFonts w:ascii="Times New Roman" w:hAnsi="Times New Roman"/>
          <w:bCs/>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sz w:val="24"/>
        </w:rPr>
        <w:t>5.3 Családtervezés, anya- és gyermekgondozás területe</w:t>
      </w:r>
    </w:p>
    <w:p w:rsidR="00795A46" w:rsidRDefault="00795A46" w:rsidP="00795A4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4"/>
        </w:rPr>
      </w:pPr>
      <w:r>
        <w:rPr>
          <w:rFonts w:ascii="Times New Roman" w:hAnsi="Times New Roman"/>
          <w:sz w:val="24"/>
        </w:rPr>
        <w:t xml:space="preserve">A címben bemutatott gondozási terület az egyébként rendkívül sokrétű védőnői munka feladatrendszerében helyezkedik el települési szinten: a védőnők feladatai közé tartozik ugyanis a nővédelem, a várandós anyák gondozása, a gyermekágyas időszakban biztosított segítségnyújtás, az újszülöttkortól az iskolakezdésig biztosított gyermekgondozás, az óvodavédőnői és az iskolavédőnői feladatellátás, a családgondozás és az egyéni és közösségi egészségfejlesztési, egészségvédelmi programok tervezésében, szervezésében és megvalósulásában való részvétel. </w:t>
      </w:r>
    </w:p>
    <w:p w:rsidR="00795A46" w:rsidRDefault="00795A46" w:rsidP="00795A4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4"/>
        </w:rPr>
      </w:pPr>
      <w:r>
        <w:rPr>
          <w:rFonts w:ascii="Times New Roman" w:hAnsi="Times New Roman"/>
          <w:sz w:val="24"/>
        </w:rPr>
        <w:t>A 2011 körül a csorvási gyermekek létszámában kimutatott csökkenés és nyugdíjba távozás miatt már csak két védőnő tevékenykedik településünkön. A védőnői hálózat hatékonyan működik, a gyermek és az anya védelmét is szolgálja. A védőnők nyilvántartják a körzetükben bejelentett lakcímmel rendelkező, illetve életvitelszerűen ott élő várandós anyákat is. Célzott és szükséglet szerinti gondozást végeznek családlátogatás és védőnői tanácsadás keretén belül. Írásban értesítik a gyermekvédelmi szolgálatot, ha észlelik a várandós anya válsághelyzetét. A védőnők 6 éves korig segítik a gyermekeket családlátogatások és a szolgálati helyiségben tartott gondozási alkalmak keretében, azután pedig 6 éves koruk betöltését követően az iskola-egészségügyi ellátás keretében.</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A védőnői szolgálat szervezte a korábbi években a helyben elérhető nőgyógyászati rákszűréseket is, amely azonban a szakorvosok túlterheltsége és a világjárvány miatt az elmúlt két évben nem valósulhatott meg Csorváson.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autoSpaceDE w:val="0"/>
        <w:spacing w:after="20"/>
        <w:ind w:firstLine="142"/>
        <w:rPr>
          <w:rFonts w:ascii="Times New Roman" w:hAnsi="Times New Roman"/>
          <w:b/>
          <w:sz w:val="24"/>
        </w:rPr>
      </w:pPr>
      <w:r>
        <w:rPr>
          <w:rFonts w:ascii="Times New Roman" w:hAnsi="Times New Roman"/>
          <w:b/>
          <w:sz w:val="24"/>
        </w:rPr>
        <w:t>5.4 A nőket érő erőszak, kapcsolati erőszak</w:t>
      </w:r>
    </w:p>
    <w:p w:rsidR="00795A46" w:rsidRDefault="00795A46" w:rsidP="00795A46">
      <w:pPr>
        <w:pStyle w:val="Tblacm"/>
        <w:rPr>
          <w:rFonts w:ascii="Times New Roman" w:hAnsi="Times New Roman"/>
          <w:sz w:val="24"/>
          <w:szCs w:val="24"/>
        </w:rPr>
      </w:pPr>
    </w:p>
    <w:p w:rsidR="00795A46" w:rsidRDefault="00795A46" w:rsidP="00795A46">
      <w:pPr>
        <w:pStyle w:val="StlusNormlWebCalibri11ptSorkizrt"/>
        <w:ind w:firstLine="709"/>
        <w:rPr>
          <w:rFonts w:ascii="Times New Roman" w:hAnsi="Times New Roman"/>
          <w:sz w:val="24"/>
          <w:szCs w:val="24"/>
        </w:rPr>
      </w:pPr>
      <w:bookmarkStart w:id="99" w:name="__RefHeading__211_1906745769"/>
      <w:bookmarkEnd w:id="99"/>
      <w:r>
        <w:rPr>
          <w:rFonts w:ascii="Times New Roman" w:hAnsi="Times New Roman"/>
          <w:sz w:val="24"/>
          <w:szCs w:val="24"/>
        </w:rPr>
        <w:t>A nőket érő erőszakról nincs pontos helyi adatunk. Sajnos ez nem jelentheti azt, hogy nem is történik nőket érő erőszak a családon belül, vagy a párkapcsolatban, hanem inkább azt, hogy az ilyen eseteket megoldják úgy, hogy nem tesznek feljelentést, vagy nem kérnek segítséget, hogy ezzel is védjék a családot. Inkább diszkrétek maradnak, nem tárják az ilyen jellegű problémáikat a nyilvánosság elé. Ha mégis történik feljelentés, azt az érintettek később visszavonják. A családon belüli erőszak megelőzésénél fontos a probléma korai feltárása. Fontos, hogy a veszélyeztetettek tisztában legyenek azzal, hogy hová fordulhatnak segítségért. Növelni kell a bejelentési aktivitást, tudatosítva az áldozatokban azt, hogy csak akkor lehet segíteni, ha szakemberhez fordulnak. Csorváson a bántalmazott nők érdekeik védelmében fordulhatnak a rendőrséghez, a Családsegítő Szolgálathoz, a védőnőkhöz, de működik a jelzőrendszer is. A jelzőrendszer tagjai a rendőrség, a Családsegítő Szolgálat, a védőnők, valamint az iskola és az óvoda gyermekvédelmi feladatok ellátásával megbízott felelőse. Rendszeres időközönként jelzőrendszeri értekezletet tartanak, ahol a Családsegítő Szolgálat munkatársai tájékoztatót tartanak változásokról, a jogszabályok módosításáról, az együttműködés új lehetőségeiről. A résztvevők megtárgyalják az aktuális problémákat, a konkrét eseteket. Az éves értékelő értekezleten az önkormányzat jegyzője, és a szociális területen dolgozók is részt vesznek.</w:t>
      </w:r>
    </w:p>
    <w:p w:rsidR="00795A46" w:rsidRDefault="00795A46" w:rsidP="00795A46">
      <w:pPr>
        <w:rPr>
          <w:rFonts w:ascii="Times New Roman" w:hAnsi="Times New Roman"/>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sz w:val="24"/>
        </w:rPr>
        <w:t>5.5 Krízishelyzetben igénybe vehető szolgáltatások (pl. anyaotthon, családok átmeneti otthona)</w:t>
      </w:r>
    </w:p>
    <w:p w:rsidR="00795A46" w:rsidRDefault="00795A46" w:rsidP="00795A46">
      <w:pPr>
        <w:pStyle w:val="Tblacm"/>
        <w:rPr>
          <w:rFonts w:ascii="Times New Roman" w:hAnsi="Times New Roman"/>
          <w:sz w:val="20"/>
          <w:szCs w:val="20"/>
        </w:rPr>
      </w:pPr>
      <w:bookmarkStart w:id="100" w:name="__RefHeading__213_1906745769"/>
      <w:bookmarkEnd w:id="100"/>
    </w:p>
    <w:p w:rsidR="00795A46" w:rsidRDefault="00795A46" w:rsidP="00795A46">
      <w:pPr>
        <w:autoSpaceDE w:val="0"/>
        <w:ind w:firstLine="709"/>
        <w:rPr>
          <w:rFonts w:ascii="Times New Roman" w:hAnsi="Times New Roman"/>
          <w:sz w:val="24"/>
        </w:rPr>
      </w:pPr>
      <w:r>
        <w:rPr>
          <w:rFonts w:ascii="Times New Roman" w:hAnsi="Times New Roman"/>
          <w:sz w:val="24"/>
        </w:rPr>
        <w:t xml:space="preserve">Kizárólag a gyermekükkel együtt veszélyben lévő anyák krízishelyzetben igénybe vehető, lakhatást biztosító szolgáltatás nincsen a településen. Csorváshoz legközelebb kistérségi szinten, Orosházán található a Családok Átmeneti Otthona, ahová az anyákat és gyermekeiket tudják elhelyezni, ha a mindennapjaikat veszélyeztető krízishelyzetbe kerülnek. Anyaotthonok találhatóak még Békéscsabán és Gyulán is.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Önkormányzatunk úgy segít a krízishelyzet bekövetkezése esetén, hogy szociális ellátásként igényelhető a krízistámogatás az arra rászorulók számára.</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Az anyák edukációja sürgős és fontos, hogy egy családi krízishelyzet bekövetkezése után a különváló szülők ne csak szóban egyezzenek meg arról, hogy a gyermek melyikük háztartásában nevelkedik tovább, illetve a tartásdíjat fizető fél milyen módon és mekkora összegben támogatja a családot. Bírósági ítélet birtokában a gyermeket ténylegesen nevelő szülő könnyebben kérheti számon a nem fizető felet, ráadásul a különböző állami és önkormányzati támogatások igénybevételekor dokumentumokkal szükséges igazolni a család helyzetének a megfelelő jogi rendezettségét. A köznevelési intézmények számára is fontos, hogy tudják, ki gyakorolja a szülői felügyeleti jogokat. Mivel ezekkel a szülők nincsenek tisztában, ezért tájékoztatásuk, ösztönzésük egy-egy jogi procedúra lefolytatására elengedhetetlenül fontos valamennyi szereplő érdekében.</w:t>
      </w:r>
    </w:p>
    <w:p w:rsidR="00795A46" w:rsidRDefault="00795A46" w:rsidP="00795A46">
      <w:pPr>
        <w:autoSpaceDE w:val="0"/>
        <w:spacing w:after="20"/>
        <w:ind w:firstLine="180"/>
        <w:rPr>
          <w:rFonts w:ascii="Times New Roman" w:hAnsi="Times New Roman"/>
          <w:b/>
          <w:sz w:val="20"/>
          <w:szCs w:val="20"/>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autoSpaceDE w:val="0"/>
        <w:spacing w:after="20"/>
        <w:ind w:firstLine="180"/>
        <w:rPr>
          <w:rFonts w:ascii="Times New Roman" w:hAnsi="Times New Roman"/>
          <w:b/>
          <w:sz w:val="24"/>
        </w:rPr>
      </w:pPr>
      <w:r>
        <w:rPr>
          <w:rFonts w:ascii="Times New Roman" w:hAnsi="Times New Roman"/>
          <w:b/>
          <w:sz w:val="24"/>
        </w:rPr>
        <w:t>5.6 A nők szerepe a helyi közéletben</w:t>
      </w:r>
    </w:p>
    <w:p w:rsidR="00795A46" w:rsidRDefault="00795A46" w:rsidP="00795A46">
      <w:pPr>
        <w:rPr>
          <w:rFonts w:ascii="Times New Roman" w:hAnsi="Times New Roman"/>
          <w:sz w:val="24"/>
        </w:rPr>
      </w:pPr>
    </w:p>
    <w:p w:rsidR="00795A46" w:rsidRDefault="00795A46" w:rsidP="00795A46">
      <w:pPr>
        <w:ind w:firstLine="708"/>
        <w:rPr>
          <w:rFonts w:ascii="Times New Roman" w:hAnsi="Times New Roman"/>
          <w:sz w:val="24"/>
        </w:rPr>
      </w:pPr>
      <w:r>
        <w:rPr>
          <w:rFonts w:ascii="Times New Roman" w:hAnsi="Times New Roman"/>
          <w:sz w:val="24"/>
        </w:rPr>
        <w:t>A helyi közéletben is, hasonlóan az országos átlaghoz, a férfiak számához képest kevés nő tevékenykedik. A 2014-2019-es települési önkormányzati képviseleti ciklusban a Képviselő-testület létszáma 9 fő volt, tagjai közül 3 fő volt nő. A 2019-2014-es települési önkormányzati képviseleti ciklusban a Képviselő-testület létszáma 6 fő, tagjai közül 2 fő nő, a nem képviselő bizottsági tagok közül négy főből kettő nő. A nők százalékos aránya a helyi közéletben az utóbbi időben nagyjából változatlan maradt, de kiemelendő, hogy az önkormányzat mindkét nagy ellátó intézményét (Csorvás Város Önkormányzatának Óvodája és Bölcsődéje, valamint Csorvás Város Önkormányzatának Egyesített Szociális Intézménye) nő vezeti, valamint a KLIK fenntartásában működő Csorvási Gulyás Mihály Általános iskola is nők irányításával neveli az ifjúságot.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sz w:val="24"/>
        </w:rPr>
        <w:t>5.7 A nőket helyi szinten fokozottan érintő társadalmi problémák és felszámolásukra irányuló kezdeményezések</w:t>
      </w:r>
    </w:p>
    <w:p w:rsidR="00795A46" w:rsidRDefault="00795A46" w:rsidP="00795A46">
      <w:pPr>
        <w:ind w:firstLine="709"/>
        <w:rPr>
          <w:rFonts w:ascii="Times New Roman" w:hAnsi="Times New Roman"/>
          <w:sz w:val="24"/>
        </w:rPr>
      </w:pPr>
    </w:p>
    <w:p w:rsidR="00795A46" w:rsidRDefault="00795A46" w:rsidP="00795A46">
      <w:pPr>
        <w:ind w:firstLine="708"/>
        <w:rPr>
          <w:rFonts w:ascii="Times New Roman" w:hAnsi="Times New Roman"/>
          <w:sz w:val="24"/>
        </w:rPr>
      </w:pPr>
      <w:r>
        <w:rPr>
          <w:rFonts w:ascii="Times New Roman" w:hAnsi="Times New Roman"/>
          <w:sz w:val="24"/>
        </w:rPr>
        <w:t xml:space="preserve">A nőket helyi szinten fokozottan érintő társadalmi problémák és felszámolásukra irányuló kezdeményezésekről nehéz beszélnünk, mivel az önkormányzat intézményei nagyon kevés adattal rendelkeznek a szempontok és problémák tekintetében. A nők elleni hátrányos megkülönböztetést nem könnyű objektíven, tényszerűen regisztrálni. Az önkormányzatnak az egészségügy, oktatás, területfejlesztés, foglalkoztatás, gazdaság, a kultúra terén a szolgáltatások kialakítása során tekintettel kell lenni a nemek eltérő helyzetére és szükségletére, valamint törekedniük kell speciális, éppen nemük miatt jellemző problémák megoldására. </w:t>
      </w:r>
    </w:p>
    <w:p w:rsidR="00795A46" w:rsidRDefault="00795A46" w:rsidP="00795A46">
      <w:pPr>
        <w:rPr>
          <w:rFonts w:ascii="Times New Roman" w:hAnsi="Times New Roman"/>
          <w:sz w:val="24"/>
        </w:rPr>
      </w:pPr>
      <w:r>
        <w:rPr>
          <w:rFonts w:ascii="Times New Roman" w:hAnsi="Times New Roman"/>
          <w:sz w:val="24"/>
        </w:rPr>
        <w:t>A gyermeket vállaló anyák elhelyezkedésének elősegítése során elsősorban a kisgyermekek nappali ellátását biztosító férőhelyeket (bölcsőde) kell továbbra is megfelelő számban biztosítani.  Csorváson ez a szolgáltatás megoldott. További, évről-évre visszatérő probléma a gyermekek szünidei felügyeletének megszervezése, melyet a költségvetési források hiánya és a jogszabályi rendelkezések kuszasága tovább nehezít.</w:t>
      </w:r>
    </w:p>
    <w:p w:rsidR="00795A46" w:rsidRDefault="00795A46" w:rsidP="00795A46">
      <w:pPr>
        <w:pStyle w:val="Tblacm"/>
        <w:rPr>
          <w:rFonts w:ascii="Times New Roman" w:hAnsi="Times New Roman"/>
          <w:sz w:val="20"/>
          <w:szCs w:val="20"/>
        </w:rPr>
      </w:pPr>
      <w:bookmarkStart w:id="101" w:name="__RefHeading__217_1906745769"/>
      <w:bookmarkEnd w:id="101"/>
    </w:p>
    <w:p w:rsidR="00795A46" w:rsidRDefault="00795A46" w:rsidP="00795A46">
      <w:pPr>
        <w:rPr>
          <w:rFonts w:ascii="Times New Roman" w:hAnsi="Times New Roman"/>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sz w:val="24"/>
        </w:rPr>
        <w:t>5.8 Következtetések: problémák beazonosítása, fejlesztési lehetőségek meghatározása.</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708"/>
        <w:rPr>
          <w:rFonts w:ascii="Times New Roman" w:hAnsi="Times New Roman"/>
          <w:sz w:val="24"/>
        </w:rPr>
      </w:pPr>
      <w:r>
        <w:rPr>
          <w:rFonts w:ascii="Times New Roman" w:hAnsi="Times New Roman"/>
          <w:sz w:val="24"/>
        </w:rPr>
        <w:t>A regisztrált munkanélküli nők száma 2012 óta harmadára csökkent, a munkavállalási korú lakossághoz viszonyított arányuk most is azonos a férfiakéval. 2010-ben 10, később már 20, jelenleg pedig 24 bölcsődei férőhely áll rendelkezésre Csorváson, és nemsokára újabb 8 férőhelyes mini bölcsődét nyit meg települési önkormányzatunk.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A nők problémájaként kell beazonosítanunk az iskolai tanítási szünetekben, különösen a nyári szünetben a szünidei napközbeni gyermekfelügyelet biztosítását, és a családon belüli erőszaknak a gyermeket ellátó intézményen belüli gyors felismerését és hatékony kezelését. Mindkét intézkedés kiemelten kezelendő. Ugyanakkor az egymástól elváló gyermekes élettársakat vagy különélő házastársakat rá kell venni helyzetük jogi úton való rendezésére.</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tbl>
      <w:tblPr>
        <w:tblW w:w="9210" w:type="dxa"/>
        <w:tblInd w:w="-5" w:type="dxa"/>
        <w:tblLayout w:type="fixed"/>
        <w:tblLook w:val="04A0" w:firstRow="1" w:lastRow="0" w:firstColumn="1" w:lastColumn="0" w:noHBand="0" w:noVBand="1"/>
      </w:tblPr>
      <w:tblGrid>
        <w:gridCol w:w="567"/>
        <w:gridCol w:w="4676"/>
        <w:gridCol w:w="3967"/>
        <w:tblGridChange w:id="102">
          <w:tblGrid>
            <w:gridCol w:w="567"/>
            <w:gridCol w:w="4676"/>
            <w:gridCol w:w="3967"/>
          </w:tblGrid>
        </w:tblGridChange>
      </w:tblGrid>
      <w:tr w:rsidR="00795A46" w:rsidTr="00D71DCB">
        <w:tc>
          <w:tcPr>
            <w:tcW w:w="9210" w:type="dxa"/>
            <w:gridSpan w:val="3"/>
            <w:tcBorders>
              <w:top w:val="single" w:sz="4" w:space="0" w:color="000000"/>
              <w:left w:val="single" w:sz="4" w:space="0" w:color="000000"/>
              <w:bottom w:val="single" w:sz="4" w:space="0" w:color="000000"/>
              <w:right w:val="single" w:sz="4" w:space="0" w:color="000000"/>
            </w:tcBorders>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jc w:val="center"/>
              <w:rPr>
                <w:rFonts w:ascii="Times New Roman" w:hAnsi="Times New Roman"/>
                <w:i/>
                <w:iCs/>
                <w:sz w:val="24"/>
              </w:rPr>
            </w:pPr>
            <w:r>
              <w:rPr>
                <w:rFonts w:ascii="Times New Roman" w:hAnsi="Times New Roman"/>
                <w:i/>
                <w:iCs/>
                <w:sz w:val="24"/>
              </w:rPr>
              <w:t>A nők helyzete, esélyegyenlősége vizsgálata során településünkön</w:t>
            </w:r>
          </w:p>
          <w:p w:rsidR="00795A46" w:rsidRDefault="00795A46">
            <w:pPr>
              <w:pStyle w:val="NormlCalibri11"/>
              <w:pBdr>
                <w:top w:val="none" w:sz="0" w:space="0" w:color="auto"/>
                <w:left w:val="none" w:sz="0" w:space="0" w:color="auto"/>
                <w:bottom w:val="none" w:sz="0" w:space="0" w:color="auto"/>
                <w:right w:val="none" w:sz="0" w:space="0" w:color="auto"/>
              </w:pBdr>
              <w:spacing w:line="256" w:lineRule="auto"/>
              <w:jc w:val="center"/>
              <w:rPr>
                <w:rFonts w:ascii="Times New Roman" w:hAnsi="Times New Roman"/>
                <w:i/>
                <w:iCs/>
                <w:sz w:val="24"/>
              </w:rPr>
            </w:pPr>
          </w:p>
        </w:tc>
      </w:tr>
      <w:tr w:rsidR="00795A46" w:rsidTr="00D71DCB">
        <w:tc>
          <w:tcPr>
            <w:tcW w:w="567" w:type="dxa"/>
            <w:tcBorders>
              <w:top w:val="single" w:sz="4" w:space="0" w:color="000000"/>
              <w:left w:val="single" w:sz="4" w:space="0" w:color="000000"/>
              <w:bottom w:val="single" w:sz="4" w:space="0" w:color="000000"/>
              <w:right w:val="nil"/>
            </w:tcBorders>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jc w:val="center"/>
              <w:rPr>
                <w:rFonts w:ascii="Times New Roman" w:hAnsi="Times New Roman"/>
                <w:sz w:val="24"/>
              </w:rPr>
            </w:pPr>
            <w:bookmarkStart w:id="103" w:name="_Hlk522180927"/>
          </w:p>
        </w:tc>
        <w:tc>
          <w:tcPr>
            <w:tcW w:w="4676" w:type="dxa"/>
            <w:tcBorders>
              <w:top w:val="single" w:sz="4" w:space="0" w:color="000000"/>
              <w:left w:val="single" w:sz="4" w:space="0" w:color="000000"/>
              <w:bottom w:val="single" w:sz="4" w:space="0" w:color="000000"/>
              <w:right w:val="nil"/>
            </w:tcBorders>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jc w:val="center"/>
              <w:rPr>
                <w:rFonts w:ascii="Times New Roman" w:hAnsi="Times New Roman"/>
                <w:i/>
                <w:iCs/>
                <w:sz w:val="24"/>
              </w:rPr>
            </w:pPr>
            <w:r>
              <w:rPr>
                <w:rFonts w:ascii="Times New Roman" w:hAnsi="Times New Roman"/>
                <w:i/>
                <w:iCs/>
                <w:sz w:val="24"/>
              </w:rPr>
              <w:t>beazonosított problémák</w:t>
            </w:r>
          </w:p>
          <w:p w:rsidR="00795A46" w:rsidRDefault="00795A46">
            <w:pPr>
              <w:pStyle w:val="NormlCalibri11"/>
              <w:pBdr>
                <w:top w:val="none" w:sz="0" w:space="0" w:color="auto"/>
                <w:left w:val="none" w:sz="0" w:space="0" w:color="auto"/>
                <w:bottom w:val="none" w:sz="0" w:space="0" w:color="auto"/>
                <w:right w:val="none" w:sz="0" w:space="0" w:color="auto"/>
              </w:pBdr>
              <w:spacing w:line="256" w:lineRule="auto"/>
              <w:jc w:val="center"/>
              <w:rPr>
                <w:rFonts w:ascii="Times New Roman" w:hAnsi="Times New Roman"/>
                <w:i/>
                <w:iCs/>
                <w:sz w:val="24"/>
              </w:rPr>
            </w:pPr>
          </w:p>
        </w:tc>
        <w:tc>
          <w:tcPr>
            <w:tcW w:w="3967" w:type="dxa"/>
            <w:tcBorders>
              <w:top w:val="single" w:sz="4" w:space="0" w:color="000000"/>
              <w:left w:val="single" w:sz="4" w:space="0" w:color="000000"/>
              <w:bottom w:val="single" w:sz="4" w:space="0" w:color="000000"/>
              <w:right w:val="single" w:sz="4" w:space="0" w:color="000000"/>
            </w:tcBorders>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jc w:val="center"/>
              <w:rPr>
                <w:rFonts w:ascii="Times New Roman" w:hAnsi="Times New Roman"/>
                <w:i/>
                <w:iCs/>
                <w:sz w:val="24"/>
              </w:rPr>
            </w:pPr>
            <w:r>
              <w:rPr>
                <w:rFonts w:ascii="Times New Roman" w:hAnsi="Times New Roman"/>
                <w:i/>
                <w:iCs/>
                <w:sz w:val="24"/>
              </w:rPr>
              <w:t>fejlesztési lehetőségek</w:t>
            </w:r>
          </w:p>
          <w:p w:rsidR="00795A46" w:rsidRDefault="00795A46">
            <w:pPr>
              <w:pStyle w:val="NormlCalibri11"/>
              <w:pBdr>
                <w:top w:val="none" w:sz="0" w:space="0" w:color="auto"/>
                <w:left w:val="none" w:sz="0" w:space="0" w:color="auto"/>
                <w:bottom w:val="none" w:sz="0" w:space="0" w:color="auto"/>
                <w:right w:val="none" w:sz="0" w:space="0" w:color="auto"/>
              </w:pBdr>
              <w:spacing w:line="256" w:lineRule="auto"/>
              <w:jc w:val="center"/>
              <w:rPr>
                <w:rFonts w:ascii="Times New Roman" w:hAnsi="Times New Roman"/>
                <w:i/>
                <w:iCs/>
                <w:sz w:val="24"/>
              </w:rPr>
            </w:pPr>
          </w:p>
        </w:tc>
      </w:tr>
      <w:tr w:rsidR="00795A46" w:rsidTr="00D71DCB">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bookmarkStart w:id="104" w:name="_Hlk522180908" w:colFirst="1" w:colLast="2"/>
            <w:r>
              <w:rPr>
                <w:rFonts w:ascii="Times New Roman" w:hAnsi="Times New Roman"/>
                <w:sz w:val="24"/>
              </w:rPr>
              <w:t>1.</w:t>
            </w:r>
          </w:p>
        </w:tc>
        <w:tc>
          <w:tcPr>
            <w:tcW w:w="4676"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Különélő szülők nem hivatalos úton egyeznek meg a gyermek elhelyezéséről</w:t>
            </w:r>
          </w:p>
        </w:tc>
        <w:tc>
          <w:tcPr>
            <w:tcW w:w="3967"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Tájékoztatás nyújtása a szülőknek arról, hogy milyen előnyökkel jár a hivatalos bírósági ítélet vagy gyámügyi jegyzőkönyv megléte.</w:t>
            </w:r>
          </w:p>
        </w:tc>
      </w:tr>
      <w:tr w:rsidR="00795A46" w:rsidTr="00D71DCB">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2.</w:t>
            </w:r>
          </w:p>
        </w:tc>
        <w:tc>
          <w:tcPr>
            <w:tcW w:w="4676"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A családon belüli erőszak, mint rejtett probléma.</w:t>
            </w:r>
          </w:p>
        </w:tc>
        <w:tc>
          <w:tcPr>
            <w:tcW w:w="3967"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Tájékoztatás nyújtása a családban élőknek, aktív és hatékony jelzőrendszeri együttműködés fenntartása, a működés ösztönzése jó gyakorlatok átvételével.</w:t>
            </w:r>
          </w:p>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A gyermekeket ellátó intézmények munkatársainak képzések biztosítása annak érdekében, hogy a problémát időben felismerni és hatáskörükben kezelni legyenek képesek.</w:t>
            </w:r>
          </w:p>
        </w:tc>
      </w:tr>
      <w:tr w:rsidR="00795A46" w:rsidTr="00D71DCB">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3.</w:t>
            </w:r>
          </w:p>
        </w:tc>
        <w:tc>
          <w:tcPr>
            <w:tcW w:w="4676" w:type="dxa"/>
            <w:tcBorders>
              <w:top w:val="single" w:sz="4" w:space="0" w:color="000000"/>
              <w:left w:val="single" w:sz="4" w:space="0" w:color="000000"/>
              <w:bottom w:val="single" w:sz="4" w:space="0" w:color="000000"/>
              <w:right w:val="nil"/>
            </w:tcBorders>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 xml:space="preserve">Szünidőben a gyermekek napközbeni felügyelete biztosított. Az önkormányzat által szervezett nyári szünidei gyermekfelügyelet biztosítására ugyanakkor kevés az a személyi kapacitás, akik saját munkaköri tennivalóik mellett látják el ezt a feladatot is, a felügyelet helyszínén (a Művelődési Házban) is szervezik saját rendezvényeiket, ennek megfelelően tudnak csak szabad helyiséget biztosítani a gyermekfelügyelet lebonyolításához. A szabad kapacitással rendelkező szakemberek, pedagógusok nincsenek bevonva a gyermekfelügyelet szakmai lebonyolításába. </w:t>
            </w:r>
          </w:p>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p>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A gyermekfelügyeletben való részvétel lehetősége közismert a településen, ennek ellenére előfordul a csellengés, a nappal felnőtt felügyelet nélkül lődörgő 10 év alatti kiskorú, sőt, néha szükséges a védelembe vett gyermek kötelezése a szünidei felügyeletben való részvételre, a további veszélyeztetés megakadályozása érdekében. Sajnos az ismerten veszélyezetetett gyermekek közül többen alultápláltak és higiénés hiányosságokkal élnek (előfordul a fejtetvesség is).</w:t>
            </w:r>
          </w:p>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p>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color w:val="000000" w:themeColor="text1"/>
                <w:sz w:val="24"/>
              </w:rPr>
              <w:t xml:space="preserve">A települési önkormányzat mindent megtesz a gyermekek csellengésének megakadályozása érdekében. Személyi, intézményi és pénzügyi forrásai felhasználásával segíti a dolgozó szülőket és a gyermekeit egyedül nevelő (többségében) nőket, úgy, hogy a szabadidő hasznos eltöltését biztosító programokat, gyermekfelügyeletet kínál számukra a nyári szünidő munkanapjain 8-16 óra közötti időben. Erre a lehetőségre sokan úgy tekintenek, mint az egyetlen olyanra, ami helyben biztosítja a felügyeletet, ingyenes, hiszen csak az étkezésért kell térítési díjat fizetni annak a gyermeknek, akinek nincs megállapítva a hátrányos vagy halmozottan hátrányos helyzete. Kiemelten fontos lenne a szakképzett gyermekfelügyelőket honorálni annak érdekében, hogy tartósan biztosítva legyen a szakemberekkel való feladatellátás.  </w:t>
            </w:r>
          </w:p>
        </w:tc>
        <w:tc>
          <w:tcPr>
            <w:tcW w:w="3967"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Szükséges lenne a helyi civil szervezetek, a szociális ellátóknál működő partnerek, és a pedagógusok bevonására a napközbeni felügyelet biztosításához, hogy a dolgozó nők ne essenek ki a munkából a teljes nyári szünidő idejére, rosszabb esetben ne veszítsék el a munkájukat azzal, hogy a gyermekük a biztos óvodai nyári felügyeletre már nem számíthat, hiszen iskolás lett.</w:t>
            </w:r>
          </w:p>
        </w:tc>
      </w:tr>
      <w:tr w:rsidR="00795A46" w:rsidTr="00D71DCB">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4.</w:t>
            </w:r>
          </w:p>
        </w:tc>
        <w:tc>
          <w:tcPr>
            <w:tcW w:w="4676"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A sportélet nem csak az iskolásoké, a Tormacsarnokba vagy a focipályára látogatóké, hiszen a legtöbb mozgásformát sokan szívesen űzik a kisgyermekektől a szépkorúakig. A legismertebb, kifejezetten a csorvási nők által helyi ismertségre szert tett sport a futás, amelyet néhány lelkes amatőr futó anyuka tett népszerűvé. Ők azóta futóversenyeken is indultak, és minden vágyuk egy Csorvás belterületén megvalósuló, kifejezetten a futók számára kialakított futópálya. Sajnos az önkormányzat nem rendelkezik a futópálya finanszírozására alkalmas szabad forrásokkal. Bár felismertük, hogy ez a futópálya nemcsak a létesítését kezdeményező női futócsapatnak, hanem a gyermeknek, a szabadidő-szervező közösségeknek, az általános iskolának, a sportkluboknak és az összes sportbarátnak hasznos lesz, mégis, források híján a megvalósulása akadályozott.</w:t>
            </w:r>
          </w:p>
        </w:tc>
        <w:tc>
          <w:tcPr>
            <w:tcW w:w="3967"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 xml:space="preserve">A futópálya létesítésére alkalmas belterületi, önkormányzati ingatlan a Kazinczy utcán található focipálya körüli terület, amely alkalmas a sportolói igények magasszintű kiszolgálására. Erre a területre szükséges állami vagy EU-s forrást találni a futópálya mielőbbi megvalósulásához. </w:t>
            </w:r>
          </w:p>
        </w:tc>
      </w:tr>
      <w:tr w:rsidR="00795A46" w:rsidTr="00D71DCB">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 xml:space="preserve">5. </w:t>
            </w:r>
          </w:p>
        </w:tc>
        <w:tc>
          <w:tcPr>
            <w:tcW w:w="4676"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 xml:space="preserve">Az önkormányzat a település egyik legnagyobb foglalkoztatója. Intézményeiben: a Csorvási Óvoda és Bölcsődében, az Egyesített Szociális Intézményben és a Művelődési Ház és Könyvtárban egyaránt 90%-nál magasabb arányú a női munkavállalók aránya. Sőt, a településen működő iskola is a női munkaerőre épül. Aki mindezeket az intézményeket kiszolgálja: az önkormányzati tulajdonú közétkeztető cég szintén nagymértékben támaszkodik a szakképzett, lelkes női munkaerőre. A közétkeztetőnél elavult az eszközpark, egyre kevésbé alkalmas a régi ingatlan a modern igények kiszolgálására. Ha a közétkeztető cég munkakörülményein, infrastruktúráján javítunk, javul az általuk biztosított ellátás, az ételkészítés színvonala is, amely az összes többi közintézményünk ellátásának színvonalára is kihat, ezért a települési közétkeztető fejlesztése legfontosabb céljaink egyike. </w:t>
            </w:r>
          </w:p>
        </w:tc>
        <w:tc>
          <w:tcPr>
            <w:tcW w:w="3967"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 xml:space="preserve">A települési önkormányzat külső források bevonásával elvégzi a Csorvás, István király u. 34. szám alatti napközi konyha épületének belső felújítását, átalakítását, bővítését, ezzel együtt gép- és technológiai, valamint utólagos energetikai korszerűsítését is. </w:t>
            </w:r>
          </w:p>
        </w:tc>
      </w:tr>
      <w:tr w:rsidR="00795A46" w:rsidTr="00D71DCB">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6.</w:t>
            </w:r>
          </w:p>
        </w:tc>
        <w:tc>
          <w:tcPr>
            <w:tcW w:w="4676"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 xml:space="preserve">A településen élő, kisgyermeküket azok 0-3 éves kora között otthon gondozó nők számára kiváló közösségi tér a gyermekjátszótér. Mindamellett, hogy a gyermekek szocializációjában nélkülözhetetlen szerepet játszik, szükséges és fontos kapcsolódási pont a szülők, az anyák számára. A településen egyetlen, a közösség számára nyitott, biztonságos játszótér üzemel. Igény mutatkozik a település több, idegenforgalmilag is hasznos pontján hasonló létesítmények kialakítására, amely a jelenlegi játszótértől messze élők számára is kikapcsolódási lehetőséget nyújt. </w:t>
            </w:r>
          </w:p>
        </w:tc>
        <w:tc>
          <w:tcPr>
            <w:tcW w:w="3967"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Pályázati források bevonásával szükséges megoldást találnunk arra, hogy a városban több közösségi játszótér épüljön.</w:t>
            </w:r>
          </w:p>
        </w:tc>
      </w:tr>
      <w:tr w:rsidR="00795A46" w:rsidTr="00D71DCB">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7.</w:t>
            </w:r>
          </w:p>
        </w:tc>
        <w:tc>
          <w:tcPr>
            <w:tcW w:w="4676"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A Tornacsarnok egy olyan sportlétesítményünk, amely a „munkanapokon” az általános iskolások testnevelés-foglalkozását, a sportszakköröket és az egyesületi sporttevékenységet szolgálja ki. A sportfoglalkozások tartása azonban nemcsak a közneveléshez köthető, helye van az épületben az egyéb önszerveződő közösségek sporttevékenysége folytatásának is. Leginkább a kézilabda-sportot űző, sikeres női csapataink vágynak egy számukra is megfelelő méretű sportcsarnokra, amelyben hazai környezetben szerezhetnének dicsőséget Csorvásnak.</w:t>
            </w:r>
          </w:p>
        </w:tc>
        <w:tc>
          <w:tcPr>
            <w:tcW w:w="3967"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 xml:space="preserve">A Tornacsarnok szabványos méretű kézilabda-csarnokként is funkcionáló felújítása, átalakítása, bővítése az egyik legfontosabb közösségi sportcélú fejlesztési elképzelésünk, mindenképpen külső források bevonásával kívánjuk megvalósítani. </w:t>
            </w:r>
          </w:p>
        </w:tc>
      </w:tr>
      <w:tr w:rsidR="00795A46" w:rsidTr="00D71DCB">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 xml:space="preserve">8. </w:t>
            </w:r>
          </w:p>
        </w:tc>
        <w:tc>
          <w:tcPr>
            <w:tcW w:w="4676"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A települési önkormányzat tulajdonában áll 23 db önkormányzati lakóingatlan. Közülük 16 db a Fecskeháznak nevezett ifjúsági garzonházban, 2 db a Hunyadi utcában, 5 db pedig a Gábor Áron utcában. Az elmúlt évtizedekben az utóbbi két utcában álló lakóingatlanainkban leginkább női pedagógusok laktak családjaikkal, egyes lakások újabban szociálisan rászoruló családanyák és gyermekeik ideiglenes otthonává váltak.</w:t>
            </w:r>
          </w:p>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 xml:space="preserve">Az önkormányzati tulajdonú lakóingatlanok felújítása rendkívül fontos lehet a településen az egyes szakmákban tapasztalható szakemberhiány mérséklése céljából, azzal a szándékkal, hogy az itt bérlőként megjelenők később letelepedjenek és családot alapítsanak a városban. </w:t>
            </w:r>
          </w:p>
        </w:tc>
        <w:tc>
          <w:tcPr>
            <w:tcW w:w="3967"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A 23 db önkormányzati tulajdonú lakóingatlan fejlesztése, felújítása fontos annak érdekében, hogy a településre vonzzuk az egyes, a városban hiányszakmaként számon tartott képzettségű munkavállalókat, akik munkájukkal, családjukkal épülnek be a helyi közösségbe.</w:t>
            </w:r>
          </w:p>
        </w:tc>
      </w:tr>
      <w:tr w:rsidR="00795A46" w:rsidTr="00D71DCB">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9.</w:t>
            </w:r>
          </w:p>
        </w:tc>
        <w:tc>
          <w:tcPr>
            <w:tcW w:w="4676"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 xml:space="preserve">A település belterületén 9894 méter hosszan hiányzik a gyalogosközlekedést, a babakocsival való közlekedést és a kerekesszékesek közlekedését elősegítő járdaburkolat. </w:t>
            </w:r>
          </w:p>
        </w:tc>
        <w:tc>
          <w:tcPr>
            <w:tcW w:w="3967"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 xml:space="preserve">A település belterületi fejlesztései között előkelő helyen áll a járdaépítés és járdafelújítás, az ehhez igénybe vehető közlekedésfejlesztési források a babakocsis anyák és a kerekesszékesek könnyebb közlekedését is szolgálják. </w:t>
            </w:r>
          </w:p>
        </w:tc>
      </w:tr>
      <w:tr w:rsidR="00795A46" w:rsidTr="00D71DCB">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10.</w:t>
            </w:r>
          </w:p>
        </w:tc>
        <w:tc>
          <w:tcPr>
            <w:tcW w:w="4676"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Burkolt belterületi közutak arányának javítása</w:t>
            </w:r>
          </w:p>
        </w:tc>
        <w:tc>
          <w:tcPr>
            <w:tcW w:w="3967"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A település belterületén javításra, felújításra vagy burkolattal való ellátása szoruló utcákat pályázati forrásból kívánjuk a nők, a kerekesszékesek, a babakocsisok, a kisgyermekek egyéb közlekedési eszközeivel közlekedők számára is használhatóvá tenni.</w:t>
            </w:r>
          </w:p>
        </w:tc>
      </w:tr>
      <w:tr w:rsidR="00795A46" w:rsidTr="00D71DCB">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11.</w:t>
            </w:r>
          </w:p>
        </w:tc>
        <w:tc>
          <w:tcPr>
            <w:tcW w:w="4676"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közbiztonság-fejlesztés: térfigyelő kamerák telepítése a város egyes pontjain</w:t>
            </w:r>
          </w:p>
        </w:tc>
        <w:tc>
          <w:tcPr>
            <w:tcW w:w="3967"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 xml:space="preserve">A HEP célcsoportjai közül talán a nők örülnének legjobban a térfigyelő kamerarendszernek: a számukra a közlekedésbiztonságot jelentő fejlesztést energiatakarékos és vandálbiztos eszközökkel kívánjuk kialakítani. </w:t>
            </w:r>
          </w:p>
        </w:tc>
      </w:tr>
      <w:tr w:rsidR="00795A46" w:rsidTr="00D71DCB">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12.</w:t>
            </w:r>
          </w:p>
        </w:tc>
        <w:tc>
          <w:tcPr>
            <w:tcW w:w="4676"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A kisgyermekes évek alatti önképzés lehetősége helyben biztosított képzésekkel</w:t>
            </w:r>
          </w:p>
        </w:tc>
        <w:tc>
          <w:tcPr>
            <w:tcW w:w="3967"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 xml:space="preserve">A városban hosszú ideje érettségit nyújtó, középfokú végzettséget adó képzést kínálunk azoknak, akiknek ez segítséget jelent a munkájukban való előre lépéshez. Szükséges továbbá, hogy azok is választhassanak a képzési kínálatból, akik ennél alacsonyabb fokú végzettséget szeretnének megszerezni, vagy újabb szakmát tanulnának ki. </w:t>
            </w:r>
          </w:p>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 xml:space="preserve">Az önkormányzati közfoglalkoztatási programjainkba eddig mindig belefoglaltunk egy-egy újabb készséget fejlesztő, kompetenciákat bővítő képzést. </w:t>
            </w:r>
          </w:p>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 xml:space="preserve">A kisgyermekes anyák otthon töltött idejében „kitanulható” újabb végzettség megszerzésére irányuló képzés színhelyének településünkre költöztetése ugyanakkor nem reális elvárás. El kell fogadnunk, hogy ezzel a lehetőséggel a közeli nagyvárosokban élhetnek az érdeklődő anyák. Az általuk választott képzések sikeres elvégzése érdekében pályázati forrásokból fejlesztjük a bölcsődei és óvodai ellátást, megszervezzük a szünidei gyermekfelügyeletet, figyelemmel kísérjük a közösségi közlekedési szolgáltatók (a busz- és vonatközlekedést) szolgáltatás-nyújtását, így tudjuk őket hozzásegíteni a kisgyermekes évek alatt a vágyott végzettség megszerzéséhez. </w:t>
            </w:r>
          </w:p>
        </w:tc>
      </w:tr>
      <w:bookmarkEnd w:id="103"/>
      <w:bookmarkEnd w:id="104"/>
      <w:tr w:rsidR="00D71DCB" w:rsidRPr="00DB4E1E" w:rsidTr="00CD2E2F">
        <w:tc>
          <w:tcPr>
            <w:tcW w:w="567" w:type="dxa"/>
            <w:tcBorders>
              <w:top w:val="single" w:sz="4" w:space="0" w:color="000000"/>
              <w:left w:val="single" w:sz="4" w:space="0" w:color="000000"/>
              <w:bottom w:val="single" w:sz="4" w:space="0" w:color="000000"/>
              <w:right w:val="nil"/>
            </w:tcBorders>
          </w:tcPr>
          <w:p w:rsidR="00D71DCB" w:rsidRDefault="00D71DCB" w:rsidP="00CD2E2F">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sidRPr="00D71DCB">
              <w:rPr>
                <w:rFonts w:ascii="Times New Roman" w:hAnsi="Times New Roman"/>
                <w:color w:val="0070C0"/>
                <w:sz w:val="24"/>
              </w:rPr>
              <w:t>13</w:t>
            </w:r>
            <w:r>
              <w:rPr>
                <w:rFonts w:ascii="Times New Roman" w:hAnsi="Times New Roman"/>
                <w:sz w:val="24"/>
              </w:rPr>
              <w:t>.</w:t>
            </w:r>
          </w:p>
        </w:tc>
        <w:tc>
          <w:tcPr>
            <w:tcW w:w="4676" w:type="dxa"/>
            <w:tcBorders>
              <w:top w:val="single" w:sz="4" w:space="0" w:color="000000"/>
              <w:left w:val="single" w:sz="4" w:space="0" w:color="000000"/>
              <w:bottom w:val="single" w:sz="4" w:space="0" w:color="000000"/>
              <w:right w:val="nil"/>
            </w:tcBorders>
          </w:tcPr>
          <w:p w:rsidR="00D71DCB" w:rsidRPr="00D71DCB" w:rsidRDefault="00D71DCB" w:rsidP="00CD2E2F">
            <w:pPr>
              <w:suppressAutoHyphens w:val="0"/>
              <w:rPr>
                <w:rFonts w:ascii="Times New Roman" w:hAnsi="Times New Roman"/>
                <w:color w:val="0070C0"/>
                <w:sz w:val="24"/>
                <w:lang w:eastAsia="hu-HU"/>
              </w:rPr>
            </w:pPr>
            <w:r w:rsidRPr="00D71DCB">
              <w:rPr>
                <w:rFonts w:ascii="Times New Roman" w:hAnsi="Times New Roman"/>
                <w:color w:val="0070C0"/>
                <w:sz w:val="24"/>
                <w:lang w:eastAsia="hu-HU"/>
              </w:rPr>
              <w:t>A jelentős családtámogatási intézkedéseknek köszönhetően egyre többen maradnak helyben és vállalnak gyermeket, illetve azok száma is jelentős, akik Csorváson vásárolnak ingatlant, itt telepednek le és alapítanak családot.</w:t>
            </w:r>
          </w:p>
          <w:p w:rsidR="00D71DCB" w:rsidRPr="00D71DCB" w:rsidRDefault="00D71DCB" w:rsidP="00CD2E2F">
            <w:pPr>
              <w:suppressAutoHyphens w:val="0"/>
              <w:rPr>
                <w:rFonts w:ascii="Times New Roman" w:hAnsi="Times New Roman"/>
                <w:color w:val="0070C0"/>
                <w:sz w:val="24"/>
                <w:lang w:eastAsia="hu-HU"/>
              </w:rPr>
            </w:pPr>
            <w:r w:rsidRPr="00D71DCB">
              <w:rPr>
                <w:rFonts w:ascii="Times New Roman" w:hAnsi="Times New Roman"/>
                <w:color w:val="0070C0"/>
                <w:sz w:val="24"/>
                <w:lang w:eastAsia="hu-HU"/>
              </w:rPr>
              <w:t>Az utóbbi időben emelkedett a születések száma. Jelenleg az óvodai férőhelyek megteltek.</w:t>
            </w:r>
          </w:p>
          <w:p w:rsidR="00D71DCB" w:rsidRPr="00DB4E1E" w:rsidRDefault="00D71DCB" w:rsidP="00CD2E2F">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sidRPr="00D71DCB">
              <w:rPr>
                <w:rFonts w:ascii="Times New Roman" w:hAnsi="Times New Roman"/>
                <w:color w:val="0070C0"/>
                <w:sz w:val="24"/>
                <w:lang w:eastAsia="hu-HU"/>
              </w:rPr>
              <w:t>A gyermekeket nevelő nők munkaerőpiaci helyzetét hátrányosan befolyásolhatja, ha gyermekének óvodai elhelyezését nem tudja helyben megoldani.</w:t>
            </w:r>
          </w:p>
        </w:tc>
        <w:tc>
          <w:tcPr>
            <w:tcW w:w="3967" w:type="dxa"/>
            <w:tcBorders>
              <w:top w:val="single" w:sz="4" w:space="0" w:color="000000"/>
              <w:left w:val="single" w:sz="4" w:space="0" w:color="000000"/>
              <w:bottom w:val="single" w:sz="4" w:space="0" w:color="000000"/>
              <w:right w:val="single" w:sz="4" w:space="0" w:color="000000"/>
            </w:tcBorders>
          </w:tcPr>
          <w:p w:rsidR="00D71DCB" w:rsidRPr="00DB4E1E" w:rsidRDefault="00D71DCB" w:rsidP="00CD2E2F">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sidRPr="00D71DCB">
              <w:rPr>
                <w:rFonts w:ascii="Times New Roman" w:hAnsi="Times New Roman"/>
                <w:color w:val="0070C0"/>
                <w:sz w:val="24"/>
                <w:lang w:eastAsia="hu-HU"/>
              </w:rPr>
              <w:t>Az István király utcai feladatellátási helyen új csoportszoba és többfunkciós terem kialakítása vált szükségessé</w:t>
            </w:r>
          </w:p>
        </w:tc>
      </w:tr>
      <w:tr w:rsidR="00D71DCB" w:rsidRPr="00DB4E1E" w:rsidTr="00CD2E2F">
        <w:tc>
          <w:tcPr>
            <w:tcW w:w="567" w:type="dxa"/>
            <w:tcBorders>
              <w:top w:val="single" w:sz="4" w:space="0" w:color="000000"/>
              <w:left w:val="single" w:sz="4" w:space="0" w:color="000000"/>
              <w:bottom w:val="single" w:sz="4" w:space="0" w:color="000000"/>
              <w:right w:val="nil"/>
            </w:tcBorders>
          </w:tcPr>
          <w:p w:rsidR="00D71DCB" w:rsidRDefault="00D71DCB" w:rsidP="00CD2E2F">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sidRPr="00D71DCB">
              <w:rPr>
                <w:rFonts w:ascii="Times New Roman" w:hAnsi="Times New Roman"/>
                <w:color w:val="0070C0"/>
                <w:sz w:val="24"/>
              </w:rPr>
              <w:t>14</w:t>
            </w:r>
            <w:r w:rsidRPr="00D71DCB">
              <w:rPr>
                <w:rFonts w:ascii="Times New Roman" w:hAnsi="Times New Roman"/>
                <w:color w:val="0070C0"/>
                <w:sz w:val="24"/>
              </w:rPr>
              <w:t>.</w:t>
            </w:r>
          </w:p>
        </w:tc>
        <w:tc>
          <w:tcPr>
            <w:tcW w:w="4676" w:type="dxa"/>
            <w:tcBorders>
              <w:top w:val="single" w:sz="4" w:space="0" w:color="000000"/>
              <w:left w:val="single" w:sz="4" w:space="0" w:color="000000"/>
              <w:bottom w:val="single" w:sz="4" w:space="0" w:color="000000"/>
              <w:right w:val="nil"/>
            </w:tcBorders>
          </w:tcPr>
          <w:p w:rsidR="00D71DCB" w:rsidRPr="00D71DCB" w:rsidRDefault="00D71DCB" w:rsidP="00D71DCB">
            <w:pPr>
              <w:suppressAutoHyphens w:val="0"/>
              <w:rPr>
                <w:rFonts w:ascii="Times New Roman" w:eastAsia="Calibri" w:hAnsi="Times New Roman"/>
                <w:color w:val="0070C0"/>
                <w:szCs w:val="22"/>
                <w:lang w:eastAsia="en-US"/>
                <w14:ligatures w14:val="standardContextual"/>
              </w:rPr>
            </w:pPr>
            <w:r w:rsidRPr="00D71DCB">
              <w:rPr>
                <w:rFonts w:ascii="Times New Roman" w:eastAsia="Calibri" w:hAnsi="Times New Roman"/>
                <w:color w:val="0070C0"/>
                <w:szCs w:val="22"/>
                <w:lang w:eastAsia="en-US"/>
                <w14:ligatures w14:val="standardContextual"/>
              </w:rPr>
              <w:t>A városi programlehetőségek tartalmi és mennyiségi vonatkozásban további fejlesztést igényelnek, és növelni kell a civil szervezetek valamint a lakosság szerepvállalását is a rendezvénykínálat megvalósításában.</w:t>
            </w:r>
            <w:r w:rsidRPr="00D71DCB">
              <w:rPr>
                <w:rFonts w:ascii="Times New Roman" w:eastAsia="Calibri" w:hAnsi="Times New Roman"/>
                <w:b/>
                <w:color w:val="0070C0"/>
                <w:szCs w:val="22"/>
                <w:lang w:eastAsia="en-US"/>
                <w14:ligatures w14:val="standardContextual"/>
              </w:rPr>
              <w:t xml:space="preserve"> </w:t>
            </w:r>
            <w:r w:rsidRPr="00D71DCB">
              <w:rPr>
                <w:rFonts w:ascii="Times New Roman" w:eastAsia="Calibri" w:hAnsi="Times New Roman"/>
                <w:color w:val="0070C0"/>
                <w:szCs w:val="22"/>
                <w:lang w:eastAsia="en-US"/>
                <w14:ligatures w14:val="standardContextual"/>
              </w:rPr>
              <w:t>A programkínálat minőségi és mennyiségi tulajdonságainak javítása érdekében annak kiterjesztésére, továbbá a társadalmi aktivitás ösztönzésére lenne szükség.</w:t>
            </w:r>
          </w:p>
          <w:p w:rsidR="00D71DCB" w:rsidRPr="00D71DCB" w:rsidRDefault="00D71DCB" w:rsidP="00D71DCB">
            <w:pPr>
              <w:suppressAutoHyphens w:val="0"/>
              <w:rPr>
                <w:rFonts w:ascii="Times New Roman" w:eastAsia="Calibri" w:hAnsi="Times New Roman"/>
                <w:color w:val="0070C0"/>
                <w:szCs w:val="22"/>
                <w:lang w:eastAsia="en-US"/>
                <w14:ligatures w14:val="standardContextual"/>
              </w:rPr>
            </w:pPr>
            <w:r w:rsidRPr="00D71DCB">
              <w:rPr>
                <w:rFonts w:ascii="Times New Roman" w:eastAsia="Calibri" w:hAnsi="Times New Roman"/>
                <w:color w:val="0070C0"/>
                <w:szCs w:val="22"/>
                <w:lang w:eastAsia="en-US"/>
                <w14:ligatures w14:val="standardContextual"/>
              </w:rPr>
              <w:t>A bővülő programlehetőségek, a szociális tevékenységek iránti megnövekedett társadalmi igények újabb közösségi és neutrális terek kialakítását, valamint a meglévők bővítését, fejlesztését, és minőségi tartalommal való megtöltését indokolják. Kijelenthető tehát, hogy az azonosított problémák között igen nagy fajsúllyal jelent meg a közösségi terek kulturális-infrastrukturális deficite.</w:t>
            </w:r>
          </w:p>
          <w:p w:rsidR="00D71DCB" w:rsidRPr="00B31832" w:rsidRDefault="00D71DCB" w:rsidP="00D71DCB">
            <w:pPr>
              <w:suppressAutoHyphens w:val="0"/>
              <w:rPr>
                <w:rFonts w:ascii="Times New Roman" w:hAnsi="Times New Roman"/>
                <w:color w:val="000000"/>
                <w:sz w:val="24"/>
                <w:lang w:eastAsia="en-US"/>
              </w:rPr>
            </w:pPr>
          </w:p>
        </w:tc>
        <w:tc>
          <w:tcPr>
            <w:tcW w:w="3967" w:type="dxa"/>
            <w:tcBorders>
              <w:top w:val="single" w:sz="4" w:space="0" w:color="000000"/>
              <w:left w:val="single" w:sz="4" w:space="0" w:color="000000"/>
              <w:bottom w:val="single" w:sz="4" w:space="0" w:color="000000"/>
              <w:right w:val="single" w:sz="4" w:space="0" w:color="000000"/>
            </w:tcBorders>
          </w:tcPr>
          <w:p w:rsidR="00D71DCB" w:rsidRPr="00D71DCB" w:rsidRDefault="00D71DCB" w:rsidP="00CD2E2F">
            <w:pPr>
              <w:suppressAutoHyphens w:val="0"/>
              <w:rPr>
                <w:rFonts w:ascii="Times New Roman" w:eastAsia="Calibri" w:hAnsi="Times New Roman"/>
                <w:color w:val="0070C0"/>
                <w:sz w:val="24"/>
                <w:lang w:eastAsia="en-US"/>
                <w14:ligatures w14:val="standardContextual"/>
              </w:rPr>
            </w:pPr>
            <w:r w:rsidRPr="00D71DCB">
              <w:rPr>
                <w:rFonts w:ascii="Times New Roman" w:eastAsia="Calibri" w:hAnsi="Times New Roman"/>
                <w:color w:val="0070C0"/>
                <w:sz w:val="24"/>
                <w:lang w:eastAsia="en-US"/>
                <w14:ligatures w14:val="standardContextual"/>
              </w:rPr>
              <w:t xml:space="preserve">A nőket érintő kulturális, közösségi, szociális, munkaerő-piaci, bűnmegelőzési, mentálhigiénés egészségmegőrző és egyéb a társadalmat aktuálisan érintő témájú programok kínálatának színesítése, annak érdekében, hogy mindenki megtalálja saját maga és környezete számára a legalkalmasabb programot, legyen szó workshopról, kiállításról, tanácsadásról, falunapról, segítő szolgáltatásról. </w:t>
            </w:r>
          </w:p>
          <w:p w:rsidR="00D71DCB" w:rsidRPr="00B31832" w:rsidRDefault="00D71DCB" w:rsidP="00CD2E2F">
            <w:pPr>
              <w:suppressAutoHyphens w:val="0"/>
              <w:jc w:val="left"/>
              <w:rPr>
                <w:rFonts w:eastAsia="Calibri" w:cs="Calibri"/>
                <w:szCs w:val="22"/>
                <w:lang w:eastAsia="en-US"/>
                <w14:ligatures w14:val="standardContextual"/>
              </w:rPr>
            </w:pPr>
          </w:p>
          <w:p w:rsidR="00D71DCB" w:rsidRPr="00DB4E1E" w:rsidRDefault="00D71DCB" w:rsidP="00CD2E2F">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lang w:eastAsia="hu-HU"/>
              </w:rPr>
            </w:pPr>
          </w:p>
        </w:tc>
      </w:tr>
    </w:tbl>
    <w:p w:rsidR="00795A46" w:rsidRDefault="00795A46" w:rsidP="00795A46"/>
    <w:p w:rsidR="00795A46" w:rsidRDefault="00795A46">
      <w:pPr>
        <w:suppressAutoHyphens w:val="0"/>
        <w:spacing w:after="160" w:line="259" w:lineRule="auto"/>
        <w:jc w:val="left"/>
      </w:pPr>
      <w:r>
        <w:br w:type="page"/>
      </w:r>
    </w:p>
    <w:p w:rsidR="00795A46" w:rsidRDefault="00795A46" w:rsidP="00795A46">
      <w:pPr>
        <w:pStyle w:val="Cmsor3"/>
        <w:keepNext w:val="0"/>
        <w:pageBreakBefore/>
        <w:rPr>
          <w:rFonts w:ascii="Times New Roman" w:hAnsi="Times New Roman"/>
          <w:szCs w:val="24"/>
        </w:rPr>
      </w:pPr>
      <w:bookmarkStart w:id="105" w:name="_Toc49500651"/>
      <w:bookmarkStart w:id="106" w:name="_Toc119566840"/>
      <w:r>
        <w:rPr>
          <w:rFonts w:ascii="Times New Roman" w:hAnsi="Times New Roman"/>
          <w:szCs w:val="24"/>
        </w:rPr>
        <w:t>6. Az idősek helyzete, esélyegyenlősége</w:t>
      </w:r>
      <w:bookmarkEnd w:id="105"/>
      <w:bookmarkEnd w:id="106"/>
    </w:p>
    <w:p w:rsidR="00795A46" w:rsidRDefault="00795A46" w:rsidP="00795A46">
      <w:pPr>
        <w:autoSpaceDE w:val="0"/>
        <w:spacing w:after="20"/>
        <w:ind w:firstLine="142"/>
        <w:rPr>
          <w:rFonts w:ascii="Times New Roman" w:hAnsi="Times New Roman"/>
          <w:b/>
          <w:sz w:val="24"/>
        </w:rPr>
      </w:pPr>
      <w:r>
        <w:rPr>
          <w:rFonts w:ascii="Times New Roman" w:hAnsi="Times New Roman"/>
          <w:b/>
          <w:sz w:val="24"/>
        </w:rPr>
        <w:t>6.1 Az időskorú népesség főbb jellemzői (pl. száma, aránya, jövedelmi helyzete, demográfiai trendek stb.)</w:t>
      </w:r>
    </w:p>
    <w:p w:rsidR="00795A46" w:rsidRDefault="00795A46" w:rsidP="00795A46">
      <w:pPr>
        <w:autoSpaceDE w:val="0"/>
        <w:spacing w:after="20"/>
        <w:rPr>
          <w:rFonts w:ascii="Times New Roman" w:hAnsi="Times New Roman"/>
          <w:b/>
          <w:sz w:val="24"/>
        </w:rPr>
      </w:pPr>
    </w:p>
    <w:p w:rsidR="00795A46" w:rsidRDefault="00795A46" w:rsidP="00795A46">
      <w:pPr>
        <w:pStyle w:val="Tblacm"/>
        <w:rPr>
          <w:rFonts w:ascii="Times New Roman" w:hAnsi="Times New Roman"/>
          <w:sz w:val="24"/>
          <w:szCs w:val="24"/>
          <w:shd w:val="clear" w:color="auto" w:fill="00FF00"/>
        </w:rPr>
      </w:pPr>
      <w:r>
        <w:rPr>
          <w:rFonts w:ascii="Times New Roman" w:hAnsi="Times New Roman"/>
          <w:sz w:val="24"/>
          <w:szCs w:val="24"/>
          <w:shd w:val="clear" w:color="auto" w:fill="00FF00"/>
        </w:rPr>
        <w:t>6.1. számú táblázat – Öregedési index</w:t>
      </w:r>
    </w:p>
    <w:p w:rsidR="00795A46" w:rsidRDefault="00795A46" w:rsidP="00795A46">
      <w:pPr>
        <w:pStyle w:val="Tblacm"/>
        <w:rPr>
          <w:rFonts w:ascii="Times New Roman" w:hAnsi="Times New Roman"/>
          <w:sz w:val="24"/>
          <w:szCs w:val="24"/>
          <w:shd w:val="clear" w:color="auto" w:fill="00FF00"/>
        </w:rPr>
      </w:pPr>
    </w:p>
    <w:tbl>
      <w:tblPr>
        <w:tblW w:w="9776" w:type="dxa"/>
        <w:tblCellMar>
          <w:left w:w="70" w:type="dxa"/>
          <w:right w:w="70" w:type="dxa"/>
        </w:tblCellMar>
        <w:tblLook w:val="04A0" w:firstRow="1" w:lastRow="0" w:firstColumn="1" w:lastColumn="0" w:noHBand="0" w:noVBand="1"/>
      </w:tblPr>
      <w:tblGrid>
        <w:gridCol w:w="1260"/>
        <w:gridCol w:w="2704"/>
        <w:gridCol w:w="2835"/>
        <w:gridCol w:w="2977"/>
      </w:tblGrid>
      <w:tr w:rsidR="00795A46" w:rsidTr="00795A46">
        <w:trPr>
          <w:trHeight w:val="1018"/>
        </w:trPr>
        <w:tc>
          <w:tcPr>
            <w:tcW w:w="1260" w:type="dxa"/>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bookmarkStart w:id="107" w:name="_Hlk104899777"/>
            <w:r>
              <w:rPr>
                <w:rFonts w:cs="Calibri"/>
                <w:b/>
                <w:bCs/>
                <w:szCs w:val="22"/>
                <w:lang w:eastAsia="hu-HU"/>
              </w:rPr>
              <w:t>Év</w:t>
            </w:r>
          </w:p>
        </w:tc>
        <w:tc>
          <w:tcPr>
            <w:tcW w:w="2704"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65 év feletti állandó lakosok száma (fő)</w:t>
            </w:r>
            <w:r>
              <w:rPr>
                <w:rFonts w:cs="Calibri"/>
                <w:b/>
                <w:bCs/>
                <w:szCs w:val="22"/>
                <w:lang w:eastAsia="hu-HU"/>
              </w:rPr>
              <w:br/>
            </w:r>
            <w:r>
              <w:rPr>
                <w:rFonts w:cs="Calibri"/>
                <w:szCs w:val="22"/>
                <w:lang w:eastAsia="hu-HU"/>
              </w:rPr>
              <w:t>(TS 026 és TS 028 összesen)</w:t>
            </w:r>
          </w:p>
        </w:tc>
        <w:tc>
          <w:tcPr>
            <w:tcW w:w="2835"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0-14 éves korú állandó lakosok száma (fő)</w:t>
            </w:r>
            <w:r>
              <w:rPr>
                <w:rFonts w:cs="Calibri"/>
                <w:b/>
                <w:bCs/>
                <w:szCs w:val="22"/>
                <w:lang w:eastAsia="hu-HU"/>
              </w:rPr>
              <w:br/>
            </w:r>
            <w:r>
              <w:rPr>
                <w:rFonts w:cs="Calibri"/>
                <w:szCs w:val="22"/>
                <w:lang w:eastAsia="hu-HU"/>
              </w:rPr>
              <w:t>(TS 010 és TS 012 összesen)</w:t>
            </w:r>
          </w:p>
        </w:tc>
        <w:tc>
          <w:tcPr>
            <w:tcW w:w="2977"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Öregedési index</w:t>
            </w:r>
            <w:r>
              <w:rPr>
                <w:rFonts w:cs="Calibri"/>
                <w:b/>
                <w:bCs/>
                <w:szCs w:val="22"/>
                <w:lang w:eastAsia="hu-HU"/>
              </w:rPr>
              <w:br/>
              <w:t xml:space="preserve">% </w:t>
            </w:r>
            <w:r>
              <w:rPr>
                <w:rFonts w:cs="Calibri"/>
                <w:b/>
                <w:bCs/>
                <w:szCs w:val="22"/>
                <w:lang w:eastAsia="hu-HU"/>
              </w:rPr>
              <w:br/>
            </w:r>
            <w:r>
              <w:rPr>
                <w:rFonts w:cs="Calibri"/>
                <w:szCs w:val="22"/>
                <w:lang w:eastAsia="hu-HU"/>
              </w:rPr>
              <w:t>(TS 030)</w:t>
            </w:r>
          </w:p>
        </w:tc>
      </w:tr>
      <w:tr w:rsidR="00795A46" w:rsidTr="00795A46">
        <w:trPr>
          <w:trHeight w:val="330"/>
        </w:trPr>
        <w:tc>
          <w:tcPr>
            <w:tcW w:w="12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2015</w:t>
            </w:r>
          </w:p>
        </w:tc>
        <w:tc>
          <w:tcPr>
            <w:tcW w:w="2704"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1 027</w:t>
            </w:r>
          </w:p>
        </w:tc>
        <w:tc>
          <w:tcPr>
            <w:tcW w:w="2835"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598</w:t>
            </w:r>
          </w:p>
        </w:tc>
        <w:tc>
          <w:tcPr>
            <w:tcW w:w="2977"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171,74%</w:t>
            </w:r>
          </w:p>
        </w:tc>
      </w:tr>
      <w:tr w:rsidR="00795A46" w:rsidTr="00795A46">
        <w:trPr>
          <w:trHeight w:val="300"/>
        </w:trPr>
        <w:tc>
          <w:tcPr>
            <w:tcW w:w="12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2016</w:t>
            </w:r>
          </w:p>
        </w:tc>
        <w:tc>
          <w:tcPr>
            <w:tcW w:w="2704"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1 023</w:t>
            </w:r>
          </w:p>
        </w:tc>
        <w:tc>
          <w:tcPr>
            <w:tcW w:w="2835"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613</w:t>
            </w:r>
          </w:p>
        </w:tc>
        <w:tc>
          <w:tcPr>
            <w:tcW w:w="2977"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166,88%</w:t>
            </w:r>
          </w:p>
        </w:tc>
      </w:tr>
      <w:tr w:rsidR="00795A46" w:rsidTr="00795A46">
        <w:trPr>
          <w:trHeight w:val="300"/>
        </w:trPr>
        <w:tc>
          <w:tcPr>
            <w:tcW w:w="12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2017</w:t>
            </w:r>
          </w:p>
        </w:tc>
        <w:tc>
          <w:tcPr>
            <w:tcW w:w="2704"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1 013</w:t>
            </w:r>
          </w:p>
        </w:tc>
        <w:tc>
          <w:tcPr>
            <w:tcW w:w="2835"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632</w:t>
            </w:r>
          </w:p>
        </w:tc>
        <w:tc>
          <w:tcPr>
            <w:tcW w:w="2977"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160,28%</w:t>
            </w:r>
          </w:p>
        </w:tc>
      </w:tr>
      <w:tr w:rsidR="00795A46" w:rsidTr="00795A46">
        <w:trPr>
          <w:trHeight w:val="300"/>
        </w:trPr>
        <w:tc>
          <w:tcPr>
            <w:tcW w:w="12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2018</w:t>
            </w:r>
          </w:p>
        </w:tc>
        <w:tc>
          <w:tcPr>
            <w:tcW w:w="2704"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1 024</w:t>
            </w:r>
          </w:p>
        </w:tc>
        <w:tc>
          <w:tcPr>
            <w:tcW w:w="2835"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590</w:t>
            </w:r>
          </w:p>
        </w:tc>
        <w:tc>
          <w:tcPr>
            <w:tcW w:w="2977"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173,56%</w:t>
            </w:r>
          </w:p>
        </w:tc>
      </w:tr>
      <w:tr w:rsidR="00795A46" w:rsidTr="00795A46">
        <w:trPr>
          <w:trHeight w:val="300"/>
        </w:trPr>
        <w:tc>
          <w:tcPr>
            <w:tcW w:w="12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2019</w:t>
            </w:r>
          </w:p>
        </w:tc>
        <w:tc>
          <w:tcPr>
            <w:tcW w:w="2704"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1 023</w:t>
            </w:r>
          </w:p>
        </w:tc>
        <w:tc>
          <w:tcPr>
            <w:tcW w:w="2835"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581</w:t>
            </w:r>
          </w:p>
        </w:tc>
        <w:tc>
          <w:tcPr>
            <w:tcW w:w="2977"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176,08%</w:t>
            </w:r>
          </w:p>
        </w:tc>
      </w:tr>
      <w:tr w:rsidR="00795A46" w:rsidTr="00795A46">
        <w:trPr>
          <w:trHeight w:val="300"/>
        </w:trPr>
        <w:tc>
          <w:tcPr>
            <w:tcW w:w="12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2020</w:t>
            </w:r>
          </w:p>
        </w:tc>
        <w:tc>
          <w:tcPr>
            <w:tcW w:w="2704"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c>
          <w:tcPr>
            <w:tcW w:w="2835"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c>
          <w:tcPr>
            <w:tcW w:w="2977"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w:t>
            </w:r>
          </w:p>
        </w:tc>
      </w:tr>
    </w:tbl>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Forrás: TeIR, KSH-Tstar</w:t>
      </w:r>
      <w:bookmarkEnd w:id="107"/>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noProof/>
          <w:lang w:eastAsia="hu-HU"/>
        </w:rPr>
        <w:drawing>
          <wp:inline distT="0" distB="0" distL="0" distR="0" wp14:anchorId="36DD386A" wp14:editId="5FC9F8C6">
            <wp:extent cx="4524375" cy="2667000"/>
            <wp:effectExtent l="0" t="0" r="9525" b="0"/>
            <wp:docPr id="54" name="Diagram 54">
              <a:extLst xmlns:a="http://schemas.openxmlformats.org/drawingml/2006/main">
                <a:ext uri="{FF2B5EF4-FFF2-40B4-BE49-F238E27FC236}">
                  <a16:creationId xmlns:a16="http://schemas.microsoft.com/office/drawing/2014/main" id="{00000000-0008-0000-0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A település népességének elöregedése kimutatható. A fenti táblázatban látjuk, hogy a 65 éven felüliek száma ha kismértékben is, de növekszik, a gyermekeké ugyanakkor az évek előrehaladtával csökken. Az öregedési index ezért az elmúlt öt évben közel tíz százalékos emelkedést mutat. </w:t>
      </w:r>
    </w:p>
    <w:p w:rsidR="00795A46" w:rsidRDefault="00795A46" w:rsidP="00795A46">
      <w:pPr>
        <w:rPr>
          <w:rFonts w:ascii="Times New Roman" w:hAnsi="Times New Roman"/>
          <w:sz w:val="24"/>
        </w:rPr>
      </w:pPr>
      <w:r>
        <w:rPr>
          <w:rFonts w:ascii="Times New Roman" w:hAnsi="Times New Roman"/>
          <w:sz w:val="24"/>
        </w:rPr>
        <w:t>Meg kell jegyeznünk azonban, hogy a fenti táblázat csak kor szerint rendezi a település fiatal és idős lakosait, nem a megállapított járandóságuk szerint, ezért van eltérés a 6.1. és a 6.1.1. számú táblázatok adattartalma között.</w:t>
      </w:r>
    </w:p>
    <w:p w:rsidR="00795A46" w:rsidRDefault="00795A46" w:rsidP="00795A46">
      <w:pPr>
        <w:rPr>
          <w:rFonts w:ascii="Times New Roman" w:hAnsi="Times New Roman"/>
          <w:sz w:val="24"/>
        </w:rPr>
      </w:pPr>
    </w:p>
    <w:p w:rsidR="00795A46" w:rsidRDefault="00795A46" w:rsidP="00795A46">
      <w:pPr>
        <w:pStyle w:val="Tblacm"/>
        <w:rPr>
          <w:rFonts w:ascii="Times New Roman" w:hAnsi="Times New Roman"/>
          <w:sz w:val="24"/>
          <w:szCs w:val="24"/>
          <w:shd w:val="clear" w:color="auto" w:fill="00FF00"/>
        </w:rPr>
      </w:pPr>
      <w:bookmarkStart w:id="108" w:name="__RefHeading__221_1906745769"/>
      <w:bookmarkEnd w:id="108"/>
      <w:r>
        <w:rPr>
          <w:rFonts w:ascii="Times New Roman" w:hAnsi="Times New Roman"/>
          <w:sz w:val="24"/>
          <w:szCs w:val="24"/>
          <w:shd w:val="clear" w:color="auto" w:fill="00FF00"/>
        </w:rPr>
        <w:t>6.1.1. számú táblázat – Nyugdíjban, nyugdíjszerű ellátásban részesülők száma nemek szerint</w:t>
      </w:r>
    </w:p>
    <w:p w:rsidR="00795A46" w:rsidRDefault="00795A46" w:rsidP="00795A46">
      <w:pPr>
        <w:rPr>
          <w:rFonts w:ascii="Times New Roman" w:hAnsi="Times New Roman"/>
          <w:sz w:val="24"/>
        </w:rPr>
      </w:pPr>
    </w:p>
    <w:tbl>
      <w:tblPr>
        <w:tblW w:w="9634" w:type="dxa"/>
        <w:tblCellMar>
          <w:left w:w="70" w:type="dxa"/>
          <w:right w:w="70" w:type="dxa"/>
        </w:tblCellMar>
        <w:tblLook w:val="04A0" w:firstRow="1" w:lastRow="0" w:firstColumn="1" w:lastColumn="0" w:noHBand="0" w:noVBand="1"/>
      </w:tblPr>
      <w:tblGrid>
        <w:gridCol w:w="704"/>
        <w:gridCol w:w="3686"/>
        <w:gridCol w:w="3543"/>
        <w:gridCol w:w="1701"/>
      </w:tblGrid>
      <w:tr w:rsidR="00795A46" w:rsidTr="00795A46">
        <w:trPr>
          <w:trHeight w:val="987"/>
        </w:trPr>
        <w:tc>
          <w:tcPr>
            <w:tcW w:w="704" w:type="dxa"/>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Év</w:t>
            </w:r>
          </w:p>
        </w:tc>
        <w:tc>
          <w:tcPr>
            <w:tcW w:w="3686"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 xml:space="preserve">Nyugdíjban, ellátásban, járadékban és egyéb járandóságban részesülő férfiak száma </w:t>
            </w:r>
            <w:r>
              <w:rPr>
                <w:rFonts w:cs="Calibri"/>
                <w:szCs w:val="22"/>
                <w:lang w:eastAsia="hu-HU"/>
              </w:rPr>
              <w:t>(TS 063)</w:t>
            </w:r>
          </w:p>
        </w:tc>
        <w:tc>
          <w:tcPr>
            <w:tcW w:w="3543"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 xml:space="preserve">Nyugdíjban, ellátásban, járadékban és egyéb járandóságban részesülő nők száma </w:t>
            </w:r>
            <w:r>
              <w:rPr>
                <w:rFonts w:cs="Calibri"/>
                <w:szCs w:val="22"/>
                <w:lang w:eastAsia="hu-HU"/>
              </w:rPr>
              <w:t>(TS 064)</w:t>
            </w:r>
          </w:p>
        </w:tc>
        <w:tc>
          <w:tcPr>
            <w:tcW w:w="1701"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Összes nyugdíjas</w:t>
            </w:r>
          </w:p>
        </w:tc>
      </w:tr>
      <w:tr w:rsidR="00795A46" w:rsidTr="00795A46">
        <w:trPr>
          <w:trHeight w:val="330"/>
        </w:trPr>
        <w:tc>
          <w:tcPr>
            <w:tcW w:w="704"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2015</w:t>
            </w:r>
          </w:p>
        </w:tc>
        <w:tc>
          <w:tcPr>
            <w:tcW w:w="368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600</w:t>
            </w:r>
          </w:p>
        </w:tc>
        <w:tc>
          <w:tcPr>
            <w:tcW w:w="3543"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961</w:t>
            </w:r>
          </w:p>
        </w:tc>
        <w:tc>
          <w:tcPr>
            <w:tcW w:w="170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1561</w:t>
            </w:r>
          </w:p>
        </w:tc>
      </w:tr>
      <w:tr w:rsidR="00795A46" w:rsidTr="00795A46">
        <w:trPr>
          <w:trHeight w:val="300"/>
        </w:trPr>
        <w:tc>
          <w:tcPr>
            <w:tcW w:w="704"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2016</w:t>
            </w:r>
          </w:p>
        </w:tc>
        <w:tc>
          <w:tcPr>
            <w:tcW w:w="368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586</w:t>
            </w:r>
          </w:p>
        </w:tc>
        <w:tc>
          <w:tcPr>
            <w:tcW w:w="3543"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947</w:t>
            </w:r>
          </w:p>
        </w:tc>
        <w:tc>
          <w:tcPr>
            <w:tcW w:w="170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1533</w:t>
            </w:r>
          </w:p>
        </w:tc>
      </w:tr>
      <w:tr w:rsidR="00795A46" w:rsidTr="00795A46">
        <w:trPr>
          <w:trHeight w:val="300"/>
        </w:trPr>
        <w:tc>
          <w:tcPr>
            <w:tcW w:w="704"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2017</w:t>
            </w:r>
          </w:p>
        </w:tc>
        <w:tc>
          <w:tcPr>
            <w:tcW w:w="368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571</w:t>
            </w:r>
          </w:p>
        </w:tc>
        <w:tc>
          <w:tcPr>
            <w:tcW w:w="3543"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924</w:t>
            </w:r>
          </w:p>
        </w:tc>
        <w:tc>
          <w:tcPr>
            <w:tcW w:w="170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1495</w:t>
            </w:r>
          </w:p>
        </w:tc>
      </w:tr>
      <w:tr w:rsidR="00795A46" w:rsidTr="00795A46">
        <w:trPr>
          <w:trHeight w:val="300"/>
        </w:trPr>
        <w:tc>
          <w:tcPr>
            <w:tcW w:w="704"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2018</w:t>
            </w:r>
          </w:p>
        </w:tc>
        <w:tc>
          <w:tcPr>
            <w:tcW w:w="368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561</w:t>
            </w:r>
          </w:p>
        </w:tc>
        <w:tc>
          <w:tcPr>
            <w:tcW w:w="3543"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910</w:t>
            </w:r>
          </w:p>
        </w:tc>
        <w:tc>
          <w:tcPr>
            <w:tcW w:w="170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1471</w:t>
            </w:r>
          </w:p>
        </w:tc>
      </w:tr>
      <w:tr w:rsidR="00795A46" w:rsidTr="00795A46">
        <w:trPr>
          <w:trHeight w:val="300"/>
        </w:trPr>
        <w:tc>
          <w:tcPr>
            <w:tcW w:w="704"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2019</w:t>
            </w:r>
          </w:p>
        </w:tc>
        <w:tc>
          <w:tcPr>
            <w:tcW w:w="368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558</w:t>
            </w:r>
          </w:p>
        </w:tc>
        <w:tc>
          <w:tcPr>
            <w:tcW w:w="3543"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886</w:t>
            </w:r>
          </w:p>
        </w:tc>
        <w:tc>
          <w:tcPr>
            <w:tcW w:w="170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1444</w:t>
            </w:r>
          </w:p>
        </w:tc>
      </w:tr>
      <w:tr w:rsidR="00795A46" w:rsidTr="00795A46">
        <w:trPr>
          <w:trHeight w:val="300"/>
        </w:trPr>
        <w:tc>
          <w:tcPr>
            <w:tcW w:w="704"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2020</w:t>
            </w:r>
          </w:p>
        </w:tc>
        <w:tc>
          <w:tcPr>
            <w:tcW w:w="368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c>
          <w:tcPr>
            <w:tcW w:w="3543"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c>
          <w:tcPr>
            <w:tcW w:w="170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w:t>
            </w:r>
          </w:p>
        </w:tc>
      </w:tr>
    </w:tbl>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Forrás: TeIR, KSH-Tstar</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noProof/>
          <w:lang w:eastAsia="hu-HU"/>
        </w:rPr>
        <w:drawing>
          <wp:inline distT="0" distB="0" distL="0" distR="0">
            <wp:extent cx="5000625" cy="2838450"/>
            <wp:effectExtent l="0" t="0" r="9525" b="0"/>
            <wp:docPr id="53" name="Diagram 53">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A településünk lakosságának </w:t>
      </w:r>
      <w:r>
        <w:rPr>
          <w:rFonts w:ascii="Times New Roman" w:hAnsi="Times New Roman"/>
          <w:color w:val="000000" w:themeColor="text1"/>
          <w:sz w:val="24"/>
        </w:rPr>
        <w:t>22 %-</w:t>
      </w:r>
      <w:r>
        <w:rPr>
          <w:rFonts w:ascii="Times New Roman" w:hAnsi="Times New Roman"/>
          <w:sz w:val="24"/>
        </w:rPr>
        <w:t>a időskorú (65 év feletti). A nyugdíjasok között igen magas az egyszemélyes háztartások száma.</w:t>
      </w:r>
      <w:r>
        <w:rPr>
          <w:rFonts w:ascii="Times New Roman" w:hAnsi="Times New Roman"/>
          <w:color w:val="FF0000"/>
          <w:sz w:val="24"/>
        </w:rPr>
        <w:t xml:space="preserve"> </w:t>
      </w:r>
      <w:r>
        <w:rPr>
          <w:rFonts w:ascii="Times New Roman" w:hAnsi="Times New Roman"/>
          <w:sz w:val="24"/>
        </w:rPr>
        <w:t>Ezen háztartások nagy részét alacsony nyugdíjjal rendelkező, özvegy nők alkotják. Az, hogy az idősek hogyan élik meg az évek múlását és az egyedüllétet, nagymértékben függ életkörülményeiktől és az idősekkel szemben tanúsított társadalmi magatartástól. Találkoztunk olyan idős személlyel, aki élettársi kapcsolatban élt, ám ez jogilag rendezetlen volt, emellett előfordult olyan is, hogy lakcímük sem egyezett. Emiatt az életben maradt fél özvegyi nyugdíjra nem számíthat. Erre megoldás lehet az időben adott felvilágosítás, tájékoztatás.</w:t>
      </w:r>
    </w:p>
    <w:p w:rsidR="00795A46" w:rsidRDefault="00795A46" w:rsidP="00795A46">
      <w:pPr>
        <w:rPr>
          <w:rFonts w:ascii="Times New Roman" w:hAnsi="Times New Roman"/>
          <w:sz w:val="24"/>
        </w:rPr>
      </w:pPr>
      <w:r>
        <w:rPr>
          <w:rFonts w:ascii="Times New Roman" w:hAnsi="Times New Roman"/>
          <w:sz w:val="24"/>
        </w:rPr>
        <w:t xml:space="preserve">Egyedülállók esetében nehezíti a helyzetet, hogy a család aktív tagjai távol vannak, vagy a megélhetésük miatt több mint nyolc órát dolgoznak, és így kevés idő marad az idősek gondozására, a velük való törődésre. Ennek hatására megnő a személyes gondoskodást nyújtó szociális ellátások iránti igény, ami jelentős kihívás elé állítja önkormányzatunkat. </w:t>
      </w:r>
    </w:p>
    <w:p w:rsidR="00795A46" w:rsidRDefault="00795A46" w:rsidP="00795A46">
      <w:pPr>
        <w:pStyle w:val="Listaszerbekezds"/>
        <w:widowControl w:val="0"/>
        <w:ind w:left="0"/>
        <w:rPr>
          <w:rFonts w:ascii="Times New Roman" w:hAnsi="Times New Roman"/>
          <w:sz w:val="24"/>
        </w:rPr>
      </w:pPr>
      <w:r>
        <w:rPr>
          <w:rFonts w:ascii="Times New Roman" w:hAnsi="Times New Roman"/>
          <w:sz w:val="24"/>
        </w:rPr>
        <w:t xml:space="preserve">Városunkban ezeket a feladatokat az Egyesített Szociális Intézmény (ápolást, gondozást nyújtó bentlakásos intézmény) látja el. </w:t>
      </w:r>
    </w:p>
    <w:p w:rsidR="00795A46" w:rsidRDefault="00795A46" w:rsidP="00795A46">
      <w:pPr>
        <w:rPr>
          <w:rFonts w:ascii="Times New Roman" w:hAnsi="Times New Roman"/>
          <w:color w:val="000000" w:themeColor="text1"/>
          <w:sz w:val="24"/>
        </w:rPr>
      </w:pPr>
    </w:p>
    <w:p w:rsidR="00795A46" w:rsidRDefault="00795A46" w:rsidP="00795A46">
      <w:pPr>
        <w:rPr>
          <w:rFonts w:ascii="Times New Roman" w:hAnsi="Times New Roman"/>
          <w:bCs/>
          <w:color w:val="000000" w:themeColor="text1"/>
          <w:sz w:val="24"/>
        </w:rPr>
      </w:pPr>
      <w:r>
        <w:rPr>
          <w:rFonts w:ascii="Times New Roman" w:hAnsi="Times New Roman"/>
          <w:color w:val="000000" w:themeColor="text1"/>
          <w:sz w:val="24"/>
        </w:rPr>
        <w:t>Az Egyesített Szociális Intézmény feladatai között nyújtja az alábbi s</w:t>
      </w:r>
      <w:r>
        <w:rPr>
          <w:rFonts w:ascii="Times New Roman" w:hAnsi="Times New Roman"/>
          <w:bCs/>
          <w:color w:val="000000" w:themeColor="text1"/>
          <w:sz w:val="24"/>
        </w:rPr>
        <w:t>zociális alapszolgáltatásokat: étkeztetés,</w:t>
      </w:r>
      <w:r>
        <w:rPr>
          <w:rFonts w:ascii="Times New Roman" w:hAnsi="Times New Roman"/>
          <w:color w:val="000000" w:themeColor="text1"/>
          <w:sz w:val="24"/>
        </w:rPr>
        <w:t xml:space="preserve"> </w:t>
      </w:r>
      <w:r>
        <w:rPr>
          <w:rFonts w:ascii="Times New Roman" w:hAnsi="Times New Roman"/>
          <w:bCs/>
          <w:color w:val="000000" w:themeColor="text1"/>
          <w:sz w:val="24"/>
        </w:rPr>
        <w:t>házi segítségnyújtás,</w:t>
      </w:r>
      <w:r>
        <w:rPr>
          <w:rFonts w:ascii="Times New Roman" w:hAnsi="Times New Roman"/>
          <w:color w:val="000000" w:themeColor="text1"/>
          <w:sz w:val="24"/>
        </w:rPr>
        <w:t xml:space="preserve"> </w:t>
      </w:r>
      <w:r>
        <w:rPr>
          <w:rFonts w:ascii="Times New Roman" w:hAnsi="Times New Roman"/>
          <w:bCs/>
          <w:color w:val="000000" w:themeColor="text1"/>
          <w:sz w:val="24"/>
        </w:rPr>
        <w:t>idősek nappali ellátása</w:t>
      </w:r>
      <w:r>
        <w:rPr>
          <w:rFonts w:ascii="Times New Roman" w:hAnsi="Times New Roman"/>
          <w:color w:val="000000" w:themeColor="text1"/>
          <w:sz w:val="24"/>
        </w:rPr>
        <w:t>, továbbá az alábbi s</w:t>
      </w:r>
      <w:r>
        <w:rPr>
          <w:rFonts w:ascii="Times New Roman" w:hAnsi="Times New Roman"/>
          <w:bCs/>
          <w:color w:val="000000" w:themeColor="text1"/>
          <w:sz w:val="24"/>
        </w:rPr>
        <w:t>zakosított ellátásokat: i</w:t>
      </w:r>
      <w:r>
        <w:rPr>
          <w:rFonts w:ascii="Times New Roman" w:eastAsia="Calibri" w:hAnsi="Times New Roman"/>
          <w:color w:val="000000" w:themeColor="text1"/>
          <w:sz w:val="24"/>
          <w:lang w:eastAsia="en-US"/>
        </w:rPr>
        <w:t>dőskorúak tartós bentlakásos ellátása</w:t>
      </w:r>
      <w:r>
        <w:rPr>
          <w:rFonts w:ascii="Times New Roman" w:hAnsi="Times New Roman"/>
          <w:bCs/>
          <w:color w:val="000000" w:themeColor="text1"/>
          <w:sz w:val="24"/>
        </w:rPr>
        <w:t>, d</w:t>
      </w:r>
      <w:r>
        <w:rPr>
          <w:rFonts w:ascii="Times New Roman" w:eastAsia="Calibri" w:hAnsi="Times New Roman"/>
          <w:color w:val="000000" w:themeColor="text1"/>
          <w:sz w:val="24"/>
          <w:lang w:eastAsia="en-US"/>
        </w:rPr>
        <w:t>emens betegek tartós bentlakásos ellátása.</w:t>
      </w:r>
      <w:r>
        <w:rPr>
          <w:rFonts w:ascii="Times New Roman" w:hAnsi="Times New Roman"/>
          <w:bCs/>
          <w:color w:val="000000" w:themeColor="text1"/>
          <w:sz w:val="24"/>
        </w:rPr>
        <w:t xml:space="preserve"> </w:t>
      </w:r>
      <w:r>
        <w:rPr>
          <w:rFonts w:ascii="Times New Roman" w:eastAsia="Calibri" w:hAnsi="Times New Roman"/>
          <w:color w:val="000000" w:themeColor="text1"/>
          <w:sz w:val="24"/>
          <w:lang w:eastAsia="en-US"/>
        </w:rPr>
        <w:t>Az intézmény a szolgáltatásokat az állam által biztosított feladatfinanszírozásból, fenntartói hozzájárulásból, adományokból, illetve térítési díjakból tudja biztosítani.</w:t>
      </w:r>
      <w:r>
        <w:rPr>
          <w:rFonts w:ascii="Times New Roman" w:hAnsi="Times New Roman"/>
          <w:bCs/>
          <w:color w:val="000000" w:themeColor="text1"/>
          <w:sz w:val="24"/>
        </w:rPr>
        <w:t xml:space="preserve"> </w:t>
      </w:r>
      <w:r>
        <w:rPr>
          <w:rFonts w:ascii="Times New Roman" w:hAnsi="Times New Roman"/>
          <w:color w:val="000000" w:themeColor="text1"/>
          <w:sz w:val="24"/>
        </w:rPr>
        <w:t>Az intézmény dolgozói körében is kiemelkedően magas a nők aránya.</w:t>
      </w:r>
    </w:p>
    <w:p w:rsidR="00795A46" w:rsidRDefault="00795A46" w:rsidP="00795A46">
      <w:pPr>
        <w:autoSpaceDE w:val="0"/>
        <w:spacing w:after="20"/>
        <w:rPr>
          <w:rFonts w:ascii="Times New Roman" w:hAnsi="Times New Roman"/>
          <w:b/>
          <w:sz w:val="24"/>
        </w:rPr>
      </w:pPr>
    </w:p>
    <w:p w:rsidR="00795A46" w:rsidRDefault="00795A46" w:rsidP="00795A46">
      <w:pPr>
        <w:autoSpaceDE w:val="0"/>
        <w:spacing w:after="20"/>
        <w:rPr>
          <w:rFonts w:ascii="Times New Roman" w:hAnsi="Times New Roman"/>
          <w:sz w:val="24"/>
        </w:rPr>
      </w:pPr>
      <w:r>
        <w:rPr>
          <w:rFonts w:ascii="Times New Roman" w:hAnsi="Times New Roman"/>
          <w:sz w:val="24"/>
          <w:highlight w:val="green"/>
        </w:rPr>
        <w:t>6.1.2. számú táblázat - Nyugdíjszerű ellátások</w:t>
      </w:r>
    </w:p>
    <w:p w:rsidR="00795A46" w:rsidRDefault="00795A46" w:rsidP="00795A46">
      <w:pPr>
        <w:autoSpaceDE w:val="0"/>
        <w:spacing w:after="20"/>
        <w:rPr>
          <w:rFonts w:ascii="Times New Roman" w:hAnsi="Times New Roman"/>
          <w:b/>
          <w:sz w:val="24"/>
        </w:rPr>
      </w:pPr>
    </w:p>
    <w:p w:rsidR="00795A46" w:rsidRDefault="00795A46" w:rsidP="00795A46">
      <w:pPr>
        <w:autoSpaceDE w:val="0"/>
        <w:spacing w:after="20"/>
        <w:rPr>
          <w:rFonts w:ascii="Times New Roman" w:hAnsi="Times New Roman"/>
          <w:b/>
          <w:sz w:val="24"/>
        </w:rPr>
      </w:pPr>
    </w:p>
    <w:tbl>
      <w:tblPr>
        <w:tblW w:w="9634" w:type="dxa"/>
        <w:tblCellMar>
          <w:left w:w="70" w:type="dxa"/>
          <w:right w:w="70" w:type="dxa"/>
        </w:tblCellMar>
        <w:tblLook w:val="04A0" w:firstRow="1" w:lastRow="0" w:firstColumn="1" w:lastColumn="0" w:noHBand="0" w:noVBand="1"/>
      </w:tblPr>
      <w:tblGrid>
        <w:gridCol w:w="588"/>
        <w:gridCol w:w="1534"/>
        <w:gridCol w:w="1166"/>
        <w:gridCol w:w="1158"/>
        <w:gridCol w:w="1158"/>
        <w:gridCol w:w="1166"/>
        <w:gridCol w:w="1360"/>
        <w:gridCol w:w="1504"/>
      </w:tblGrid>
      <w:tr w:rsidR="00795A46" w:rsidTr="00795A46">
        <w:trPr>
          <w:trHeight w:val="1380"/>
        </w:trPr>
        <w:tc>
          <w:tcPr>
            <w:tcW w:w="588" w:type="dxa"/>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Év</w:t>
            </w:r>
          </w:p>
        </w:tc>
        <w:tc>
          <w:tcPr>
            <w:tcW w:w="1534"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Életkoron alapuló ellátásban részesülő férfiak száma</w:t>
            </w:r>
            <w:r>
              <w:rPr>
                <w:rFonts w:cs="Calibri"/>
                <w:b/>
                <w:bCs/>
                <w:color w:val="000000"/>
                <w:szCs w:val="22"/>
                <w:lang w:eastAsia="hu-HU"/>
              </w:rPr>
              <w:br/>
            </w:r>
            <w:r>
              <w:rPr>
                <w:rFonts w:cs="Calibri"/>
                <w:color w:val="000000"/>
                <w:szCs w:val="22"/>
                <w:lang w:eastAsia="hu-HU"/>
              </w:rPr>
              <w:t>(TS 067)</w:t>
            </w:r>
          </w:p>
        </w:tc>
        <w:tc>
          <w:tcPr>
            <w:tcW w:w="1166"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Életkoron alapuló ellátásban részesülő nők száma</w:t>
            </w:r>
            <w:r>
              <w:rPr>
                <w:rFonts w:cs="Calibri"/>
                <w:b/>
                <w:bCs/>
                <w:color w:val="000000"/>
                <w:szCs w:val="22"/>
                <w:lang w:eastAsia="hu-HU"/>
              </w:rPr>
              <w:br/>
            </w:r>
            <w:r>
              <w:rPr>
                <w:rFonts w:cs="Calibri"/>
                <w:color w:val="000000"/>
                <w:szCs w:val="22"/>
                <w:lang w:eastAsia="hu-HU"/>
              </w:rPr>
              <w:t>(TS 068)</w:t>
            </w:r>
          </w:p>
        </w:tc>
        <w:tc>
          <w:tcPr>
            <w:tcW w:w="1158"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Öregségi nyugdíjban részesülő férfiak száma</w:t>
            </w:r>
            <w:r>
              <w:rPr>
                <w:rFonts w:cs="Calibri"/>
                <w:b/>
                <w:bCs/>
                <w:color w:val="000000"/>
                <w:szCs w:val="22"/>
                <w:lang w:eastAsia="hu-HU"/>
              </w:rPr>
              <w:br/>
            </w:r>
            <w:r>
              <w:rPr>
                <w:rFonts w:cs="Calibri"/>
                <w:color w:val="000000"/>
                <w:szCs w:val="22"/>
                <w:lang w:eastAsia="hu-HU"/>
              </w:rPr>
              <w:t>(TS 069)</w:t>
            </w:r>
          </w:p>
        </w:tc>
        <w:tc>
          <w:tcPr>
            <w:tcW w:w="1158"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Öregségi nyugdíjban részesülő nők száma</w:t>
            </w:r>
            <w:r>
              <w:rPr>
                <w:rFonts w:cs="Calibri"/>
                <w:b/>
                <w:bCs/>
                <w:color w:val="000000"/>
                <w:szCs w:val="22"/>
                <w:lang w:eastAsia="hu-HU"/>
              </w:rPr>
              <w:br/>
            </w:r>
            <w:r>
              <w:rPr>
                <w:rFonts w:cs="Calibri"/>
                <w:color w:val="000000"/>
                <w:szCs w:val="22"/>
                <w:lang w:eastAsia="hu-HU"/>
              </w:rPr>
              <w:t>(TS 070)</w:t>
            </w:r>
          </w:p>
        </w:tc>
        <w:tc>
          <w:tcPr>
            <w:tcW w:w="1166"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Özvegyi és szülői nyugdíjban részesülő férfiak száma</w:t>
            </w:r>
            <w:r>
              <w:rPr>
                <w:rFonts w:cs="Calibri"/>
                <w:b/>
                <w:bCs/>
                <w:color w:val="000000"/>
                <w:szCs w:val="22"/>
                <w:lang w:eastAsia="hu-HU"/>
              </w:rPr>
              <w:br/>
            </w:r>
            <w:r>
              <w:rPr>
                <w:rFonts w:cs="Calibri"/>
                <w:color w:val="000000"/>
                <w:szCs w:val="22"/>
                <w:lang w:eastAsia="hu-HU"/>
              </w:rPr>
              <w:t>(TS 071)</w:t>
            </w:r>
          </w:p>
        </w:tc>
        <w:tc>
          <w:tcPr>
            <w:tcW w:w="136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Özvegyi és szülői nyugdíjban részesülő nők száma</w:t>
            </w:r>
            <w:r>
              <w:rPr>
                <w:rFonts w:cs="Calibri"/>
                <w:b/>
                <w:bCs/>
                <w:color w:val="000000"/>
                <w:szCs w:val="22"/>
                <w:lang w:eastAsia="hu-HU"/>
              </w:rPr>
              <w:br/>
            </w:r>
            <w:r>
              <w:rPr>
                <w:rFonts w:cs="Calibri"/>
                <w:color w:val="000000"/>
                <w:szCs w:val="22"/>
                <w:lang w:eastAsia="hu-HU"/>
              </w:rPr>
              <w:t>(TS 072)</w:t>
            </w:r>
          </w:p>
        </w:tc>
        <w:tc>
          <w:tcPr>
            <w:tcW w:w="1504"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Időskorúak járadékában részesítettek havi átlagos száma (fő)</w:t>
            </w:r>
            <w:r>
              <w:rPr>
                <w:rFonts w:cs="Calibri"/>
                <w:b/>
                <w:bCs/>
                <w:szCs w:val="22"/>
                <w:lang w:eastAsia="hu-HU"/>
              </w:rPr>
              <w:br/>
              <w:t xml:space="preserve"> </w:t>
            </w:r>
            <w:r>
              <w:rPr>
                <w:rFonts w:cs="Calibri"/>
                <w:szCs w:val="22"/>
                <w:lang w:eastAsia="hu-HU"/>
              </w:rPr>
              <w:t>(TS 134)</w:t>
            </w:r>
          </w:p>
        </w:tc>
      </w:tr>
      <w:tr w:rsidR="00795A46" w:rsidTr="00795A46">
        <w:trPr>
          <w:trHeight w:val="330"/>
        </w:trPr>
        <w:tc>
          <w:tcPr>
            <w:tcW w:w="588"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2015</w:t>
            </w:r>
          </w:p>
        </w:tc>
        <w:tc>
          <w:tcPr>
            <w:tcW w:w="153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18</w:t>
            </w:r>
          </w:p>
        </w:tc>
        <w:tc>
          <w:tcPr>
            <w:tcW w:w="116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w:t>
            </w:r>
          </w:p>
        </w:tc>
        <w:tc>
          <w:tcPr>
            <w:tcW w:w="115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408</w:t>
            </w:r>
          </w:p>
        </w:tc>
        <w:tc>
          <w:tcPr>
            <w:tcW w:w="115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653</w:t>
            </w:r>
          </w:p>
        </w:tc>
        <w:tc>
          <w:tcPr>
            <w:tcW w:w="116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w:t>
            </w:r>
          </w:p>
        </w:tc>
        <w:tc>
          <w:tcPr>
            <w:tcW w:w="136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70</w:t>
            </w:r>
          </w:p>
        </w:tc>
        <w:tc>
          <w:tcPr>
            <w:tcW w:w="150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r>
      <w:tr w:rsidR="00795A46" w:rsidTr="00795A46">
        <w:trPr>
          <w:trHeight w:val="300"/>
        </w:trPr>
        <w:tc>
          <w:tcPr>
            <w:tcW w:w="588"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2016</w:t>
            </w:r>
          </w:p>
        </w:tc>
        <w:tc>
          <w:tcPr>
            <w:tcW w:w="153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18</w:t>
            </w:r>
          </w:p>
        </w:tc>
        <w:tc>
          <w:tcPr>
            <w:tcW w:w="116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c>
          <w:tcPr>
            <w:tcW w:w="115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395</w:t>
            </w:r>
          </w:p>
        </w:tc>
        <w:tc>
          <w:tcPr>
            <w:tcW w:w="115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662</w:t>
            </w:r>
          </w:p>
        </w:tc>
        <w:tc>
          <w:tcPr>
            <w:tcW w:w="116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c>
          <w:tcPr>
            <w:tcW w:w="136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65</w:t>
            </w:r>
          </w:p>
        </w:tc>
        <w:tc>
          <w:tcPr>
            <w:tcW w:w="150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r>
      <w:tr w:rsidR="00795A46" w:rsidTr="00795A46">
        <w:trPr>
          <w:trHeight w:val="300"/>
        </w:trPr>
        <w:tc>
          <w:tcPr>
            <w:tcW w:w="588"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2017</w:t>
            </w:r>
          </w:p>
        </w:tc>
        <w:tc>
          <w:tcPr>
            <w:tcW w:w="153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22</w:t>
            </w:r>
          </w:p>
        </w:tc>
        <w:tc>
          <w:tcPr>
            <w:tcW w:w="116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c>
          <w:tcPr>
            <w:tcW w:w="115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380</w:t>
            </w:r>
          </w:p>
        </w:tc>
        <w:tc>
          <w:tcPr>
            <w:tcW w:w="115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657</w:t>
            </w:r>
          </w:p>
        </w:tc>
        <w:tc>
          <w:tcPr>
            <w:tcW w:w="116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w:t>
            </w:r>
          </w:p>
        </w:tc>
        <w:tc>
          <w:tcPr>
            <w:tcW w:w="136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56</w:t>
            </w:r>
          </w:p>
        </w:tc>
        <w:tc>
          <w:tcPr>
            <w:tcW w:w="150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7</w:t>
            </w:r>
          </w:p>
        </w:tc>
      </w:tr>
      <w:tr w:rsidR="00795A46" w:rsidTr="00795A46">
        <w:trPr>
          <w:trHeight w:val="300"/>
        </w:trPr>
        <w:tc>
          <w:tcPr>
            <w:tcW w:w="588"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2018</w:t>
            </w:r>
          </w:p>
        </w:tc>
        <w:tc>
          <w:tcPr>
            <w:tcW w:w="153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w:t>
            </w:r>
          </w:p>
        </w:tc>
        <w:tc>
          <w:tcPr>
            <w:tcW w:w="116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c>
          <w:tcPr>
            <w:tcW w:w="115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376</w:t>
            </w:r>
          </w:p>
        </w:tc>
        <w:tc>
          <w:tcPr>
            <w:tcW w:w="115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662</w:t>
            </w:r>
          </w:p>
        </w:tc>
        <w:tc>
          <w:tcPr>
            <w:tcW w:w="116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w:t>
            </w:r>
          </w:p>
        </w:tc>
        <w:tc>
          <w:tcPr>
            <w:tcW w:w="136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52</w:t>
            </w:r>
          </w:p>
        </w:tc>
        <w:tc>
          <w:tcPr>
            <w:tcW w:w="150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7</w:t>
            </w:r>
          </w:p>
        </w:tc>
      </w:tr>
      <w:tr w:rsidR="00795A46" w:rsidTr="00795A46">
        <w:trPr>
          <w:trHeight w:val="300"/>
        </w:trPr>
        <w:tc>
          <w:tcPr>
            <w:tcW w:w="588"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2019</w:t>
            </w:r>
          </w:p>
        </w:tc>
        <w:tc>
          <w:tcPr>
            <w:tcW w:w="153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14</w:t>
            </w:r>
          </w:p>
        </w:tc>
        <w:tc>
          <w:tcPr>
            <w:tcW w:w="116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c>
          <w:tcPr>
            <w:tcW w:w="115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391</w:t>
            </w:r>
          </w:p>
        </w:tc>
        <w:tc>
          <w:tcPr>
            <w:tcW w:w="115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662</w:t>
            </w:r>
          </w:p>
        </w:tc>
        <w:tc>
          <w:tcPr>
            <w:tcW w:w="116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w:t>
            </w:r>
          </w:p>
        </w:tc>
        <w:tc>
          <w:tcPr>
            <w:tcW w:w="136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45</w:t>
            </w:r>
          </w:p>
        </w:tc>
        <w:tc>
          <w:tcPr>
            <w:tcW w:w="150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6</w:t>
            </w:r>
          </w:p>
        </w:tc>
      </w:tr>
      <w:tr w:rsidR="00795A46" w:rsidTr="00795A46">
        <w:trPr>
          <w:trHeight w:val="300"/>
        </w:trPr>
        <w:tc>
          <w:tcPr>
            <w:tcW w:w="588"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2020</w:t>
            </w:r>
          </w:p>
        </w:tc>
        <w:tc>
          <w:tcPr>
            <w:tcW w:w="153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c>
          <w:tcPr>
            <w:tcW w:w="116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c>
          <w:tcPr>
            <w:tcW w:w="115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c>
          <w:tcPr>
            <w:tcW w:w="115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c>
          <w:tcPr>
            <w:tcW w:w="116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c>
          <w:tcPr>
            <w:tcW w:w="136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c>
          <w:tcPr>
            <w:tcW w:w="150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r>
    </w:tbl>
    <w:p w:rsidR="00795A46" w:rsidRDefault="00795A46" w:rsidP="00795A46">
      <w:pPr>
        <w:autoSpaceDE w:val="0"/>
        <w:spacing w:after="20"/>
        <w:rPr>
          <w:rFonts w:ascii="Times New Roman" w:hAnsi="Times New Roman"/>
          <w:b/>
          <w:sz w:val="24"/>
        </w:rPr>
      </w:pPr>
    </w:p>
    <w:p w:rsidR="00795A46" w:rsidRDefault="00795A46" w:rsidP="00795A46">
      <w:pPr>
        <w:autoSpaceDE w:val="0"/>
        <w:spacing w:after="20"/>
        <w:rPr>
          <w:rFonts w:ascii="Times New Roman" w:hAnsi="Times New Roman"/>
          <w:sz w:val="24"/>
        </w:rPr>
      </w:pPr>
      <w:r>
        <w:rPr>
          <w:rFonts w:ascii="Times New Roman" w:hAnsi="Times New Roman"/>
          <w:sz w:val="24"/>
        </w:rPr>
        <w:t>Forrás: TeIR, KSH-TSTAR</w:t>
      </w: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rPr>
          <w:rFonts w:ascii="Times New Roman" w:hAnsi="Times New Roman"/>
          <w:sz w:val="24"/>
        </w:rPr>
      </w:pPr>
      <w:r>
        <w:rPr>
          <w:noProof/>
          <w:lang w:eastAsia="hu-HU"/>
        </w:rPr>
        <w:drawing>
          <wp:inline distT="0" distB="0" distL="0" distR="0">
            <wp:extent cx="4076700" cy="2352675"/>
            <wp:effectExtent l="0" t="0" r="0" b="9525"/>
            <wp:docPr id="52" name="Diagram 52">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rPr>
          <w:rFonts w:ascii="Times New Roman" w:hAnsi="Times New Roman"/>
          <w:sz w:val="24"/>
        </w:rPr>
      </w:pPr>
      <w:r>
        <w:rPr>
          <w:noProof/>
          <w:lang w:eastAsia="hu-HU"/>
        </w:rPr>
        <w:drawing>
          <wp:inline distT="0" distB="0" distL="0" distR="0">
            <wp:extent cx="4076700" cy="2533650"/>
            <wp:effectExtent l="0" t="0" r="0" b="0"/>
            <wp:docPr id="51" name="Diagram 51">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rPr>
          <w:rFonts w:ascii="Times New Roman" w:hAnsi="Times New Roman"/>
          <w:sz w:val="24"/>
        </w:rPr>
      </w:pPr>
      <w:r>
        <w:rPr>
          <w:noProof/>
          <w:lang w:eastAsia="hu-HU"/>
        </w:rPr>
        <w:drawing>
          <wp:inline distT="0" distB="0" distL="0" distR="0">
            <wp:extent cx="4076700" cy="2667000"/>
            <wp:effectExtent l="0" t="0" r="0" b="0"/>
            <wp:docPr id="50" name="Diagram 50">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rPr>
          <w:rFonts w:ascii="Times New Roman" w:hAnsi="Times New Roman"/>
          <w:color w:val="000000" w:themeColor="text1"/>
          <w:sz w:val="24"/>
        </w:rPr>
      </w:pPr>
    </w:p>
    <w:p w:rsidR="00795A46" w:rsidRDefault="00795A46" w:rsidP="00795A46">
      <w:pPr>
        <w:autoSpaceDE w:val="0"/>
        <w:spacing w:after="20"/>
        <w:rPr>
          <w:rFonts w:ascii="Times New Roman" w:hAnsi="Times New Roman"/>
          <w:color w:val="000000" w:themeColor="text1"/>
          <w:sz w:val="24"/>
        </w:rPr>
      </w:pPr>
      <w:r>
        <w:rPr>
          <w:rFonts w:ascii="Times New Roman" w:hAnsi="Times New Roman"/>
          <w:color w:val="000000" w:themeColor="text1"/>
          <w:sz w:val="24"/>
        </w:rPr>
        <w:t xml:space="preserve">A fenti táblázat bemutatja a 65 éven felüliek számára nyújtott állami juttatásokat. </w:t>
      </w:r>
    </w:p>
    <w:p w:rsidR="00795A46" w:rsidRDefault="00795A46" w:rsidP="00795A46">
      <w:pPr>
        <w:autoSpaceDE w:val="0"/>
        <w:spacing w:after="20"/>
        <w:rPr>
          <w:rFonts w:ascii="Times New Roman" w:hAnsi="Times New Roman"/>
          <w:iCs/>
          <w:color w:val="FF0000"/>
          <w:sz w:val="24"/>
        </w:rPr>
      </w:pPr>
      <w:r>
        <w:rPr>
          <w:rFonts w:ascii="Times New Roman" w:hAnsi="Times New Roman"/>
          <w:iCs/>
          <w:color w:val="000000" w:themeColor="text1"/>
          <w:sz w:val="24"/>
        </w:rPr>
        <w:t xml:space="preserve">Az életkoron alapuló, nyugdíjszerű ellátásban részesülő személyek leggyakrabban a következő jövedelmek valamelyikében részesülhetnek: pl. rokkantsági-vagy rehabilitációs ellátásban, vagy nyugdíj előtti álláskeresési segélyben (NYES), vagy korhatár alatti rokkantsági, baleseti rokkantsági nyugdíjban, korbetöltött rokkantsági nyugdíjban, baleseti járadékban, rokkantsági járadékban, házastársi jövedelempótlékban, stb., vagy ellátatlanok. </w:t>
      </w:r>
      <w:r>
        <w:rPr>
          <w:rFonts w:ascii="Times New Roman" w:hAnsi="Times New Roman"/>
          <w:color w:val="000000" w:themeColor="text1"/>
          <w:sz w:val="24"/>
        </w:rPr>
        <w:t>A legszembetűnőbb az öregségi nyugdíjban részesülők nemenkénti és számossági mutatója. Az öregségi nyugdíjban részesülő férfiak 160%-ának megfelelő nő részesül ugyanis ebben az ellátásban. Ugyanez tapasztalható az özvegyi ellátásban részesülők tekintetében is, de ott még számottevőbb a különbség: az ilyen juttatásban részesülő férfiak csak a töredékét jelentik az ugyanebben részesülő nők állományának. Az időskorúak járadékában részesülő személyek száma évek óta változatlan, ők ezt a járási hivataltól folyósított ellátást kapják nyugdíj helyett életük végéig, mert bár a saját jogú nyugdíjhoz szükséges kort betöltötték, a megfelelő szolgálati idővel nem rendelkeznek (tipikusan ilyenek voltak az aktív évtizedeik során gyermekneveléssel és házvezetéssel foglalkozó, ún. „háztartásbeliek”).</w:t>
      </w: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sz w:val="24"/>
        </w:rPr>
        <w:t>6.2 Idősek munkaerő-piaci helyzete</w:t>
      </w:r>
    </w:p>
    <w:p w:rsidR="00795A46" w:rsidRDefault="00795A46" w:rsidP="00795A46">
      <w:pPr>
        <w:pStyle w:val="Tblacm"/>
        <w:rPr>
          <w:rFonts w:ascii="Times New Roman" w:hAnsi="Times New Roman"/>
          <w:sz w:val="24"/>
          <w:szCs w:val="24"/>
        </w:rPr>
      </w:pPr>
    </w:p>
    <w:p w:rsidR="00795A46" w:rsidRDefault="00795A46" w:rsidP="00795A46">
      <w:pPr>
        <w:autoSpaceDE w:val="0"/>
        <w:spacing w:after="20"/>
        <w:rPr>
          <w:rFonts w:ascii="Times New Roman" w:hAnsi="Times New Roman"/>
          <w:b/>
          <w:sz w:val="24"/>
        </w:rPr>
      </w:pPr>
      <w:r>
        <w:rPr>
          <w:rFonts w:ascii="Times New Roman" w:hAnsi="Times New Roman"/>
          <w:b/>
          <w:i/>
          <w:iCs/>
          <w:sz w:val="24"/>
        </w:rPr>
        <w:t>a)</w:t>
      </w:r>
      <w:r>
        <w:rPr>
          <w:rFonts w:ascii="Times New Roman" w:hAnsi="Times New Roman"/>
          <w:b/>
          <w:sz w:val="24"/>
        </w:rPr>
        <w:t xml:space="preserve"> idősek, nyugdíjasok foglalkoztatottsága</w:t>
      </w:r>
    </w:p>
    <w:p w:rsidR="00795A46" w:rsidRDefault="00795A46" w:rsidP="00795A46">
      <w:pPr>
        <w:pStyle w:val="Tblacm"/>
        <w:rPr>
          <w:rFonts w:ascii="Times New Roman" w:hAnsi="Times New Roman"/>
          <w:sz w:val="24"/>
          <w:szCs w:val="24"/>
        </w:rPr>
      </w:pPr>
    </w:p>
    <w:p w:rsidR="00795A46" w:rsidRDefault="00795A46" w:rsidP="00795A46">
      <w:pPr>
        <w:pStyle w:val="Tblacm"/>
        <w:rPr>
          <w:rFonts w:ascii="Times New Roman" w:hAnsi="Times New Roman"/>
          <w:sz w:val="24"/>
          <w:szCs w:val="24"/>
        </w:rPr>
      </w:pPr>
    </w:p>
    <w:p w:rsidR="00795A46" w:rsidRDefault="00795A46" w:rsidP="00795A46">
      <w:pPr>
        <w:pStyle w:val="Tblacm"/>
        <w:rPr>
          <w:rFonts w:ascii="Times New Roman" w:hAnsi="Times New Roman"/>
          <w:sz w:val="24"/>
        </w:rPr>
      </w:pPr>
      <w:bookmarkStart w:id="109" w:name="__RefHeading__223_1906745769"/>
      <w:bookmarkEnd w:id="109"/>
      <w:r>
        <w:rPr>
          <w:rFonts w:ascii="Times New Roman" w:hAnsi="Times New Roman"/>
          <w:sz w:val="24"/>
          <w:szCs w:val="24"/>
          <w:highlight w:val="green"/>
        </w:rPr>
        <w:t>6.2. számú táblázat - Hátrányos megkülönböztetés a foglalkoztatás terén</w:t>
      </w:r>
    </w:p>
    <w:p w:rsidR="00795A46" w:rsidRDefault="00795A46" w:rsidP="00795A46">
      <w:pPr>
        <w:pStyle w:val="Tblacm"/>
        <w:rPr>
          <w:rFonts w:ascii="Times New Roman" w:hAnsi="Times New Roman"/>
          <w:sz w:val="24"/>
        </w:rPr>
      </w:pPr>
    </w:p>
    <w:tbl>
      <w:tblPr>
        <w:tblW w:w="9634" w:type="dxa"/>
        <w:tblCellMar>
          <w:left w:w="70" w:type="dxa"/>
          <w:right w:w="70" w:type="dxa"/>
        </w:tblCellMar>
        <w:tblLook w:val="04A0" w:firstRow="1" w:lastRow="0" w:firstColumn="1" w:lastColumn="0" w:noHBand="0" w:noVBand="1"/>
      </w:tblPr>
      <w:tblGrid>
        <w:gridCol w:w="2224"/>
        <w:gridCol w:w="1173"/>
        <w:gridCol w:w="1093"/>
        <w:gridCol w:w="1017"/>
        <w:gridCol w:w="1093"/>
        <w:gridCol w:w="1050"/>
        <w:gridCol w:w="992"/>
        <w:gridCol w:w="992"/>
      </w:tblGrid>
      <w:tr w:rsidR="00795A46" w:rsidTr="00795A46">
        <w:trPr>
          <w:trHeight w:val="1380"/>
        </w:trPr>
        <w:tc>
          <w:tcPr>
            <w:tcW w:w="2224" w:type="dxa"/>
            <w:vMerge w:val="restart"/>
            <w:tcBorders>
              <w:top w:val="single" w:sz="4" w:space="0" w:color="auto"/>
              <w:left w:val="single" w:sz="4" w:space="0" w:color="auto"/>
              <w:bottom w:val="single" w:sz="4" w:space="0" w:color="000000"/>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Nyilvántartott álláskeresők száma összesen</w:t>
            </w:r>
          </w:p>
        </w:tc>
        <w:tc>
          <w:tcPr>
            <w:tcW w:w="1173"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Év</w:t>
            </w:r>
          </w:p>
        </w:tc>
        <w:tc>
          <w:tcPr>
            <w:tcW w:w="1093"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2015</w:t>
            </w:r>
          </w:p>
        </w:tc>
        <w:tc>
          <w:tcPr>
            <w:tcW w:w="1017"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2016</w:t>
            </w:r>
          </w:p>
        </w:tc>
        <w:tc>
          <w:tcPr>
            <w:tcW w:w="1093"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2017</w:t>
            </w:r>
          </w:p>
        </w:tc>
        <w:tc>
          <w:tcPr>
            <w:tcW w:w="105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2018</w:t>
            </w:r>
          </w:p>
        </w:tc>
        <w:tc>
          <w:tcPr>
            <w:tcW w:w="992"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2019</w:t>
            </w:r>
          </w:p>
        </w:tc>
        <w:tc>
          <w:tcPr>
            <w:tcW w:w="992"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2020</w:t>
            </w:r>
          </w:p>
        </w:tc>
      </w:tr>
      <w:tr w:rsidR="00795A46" w:rsidTr="00795A46">
        <w:trPr>
          <w:trHeight w:val="6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spacing w:line="256" w:lineRule="auto"/>
              <w:jc w:val="left"/>
              <w:rPr>
                <w:rFonts w:cs="Calibri"/>
                <w:b/>
                <w:bCs/>
                <w:szCs w:val="22"/>
                <w:lang w:eastAsia="hu-HU"/>
              </w:rPr>
            </w:pPr>
          </w:p>
        </w:tc>
        <w:tc>
          <w:tcPr>
            <w:tcW w:w="1173"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Fő összesen</w:t>
            </w:r>
          </w:p>
        </w:tc>
        <w:tc>
          <w:tcPr>
            <w:tcW w:w="1093"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152</w:t>
            </w:r>
          </w:p>
        </w:tc>
        <w:tc>
          <w:tcPr>
            <w:tcW w:w="1017"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139</w:t>
            </w:r>
          </w:p>
        </w:tc>
        <w:tc>
          <w:tcPr>
            <w:tcW w:w="1093"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102</w:t>
            </w:r>
          </w:p>
        </w:tc>
        <w:tc>
          <w:tcPr>
            <w:tcW w:w="1050"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110</w:t>
            </w:r>
          </w:p>
        </w:tc>
        <w:tc>
          <w:tcPr>
            <w:tcW w:w="992"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127</w:t>
            </w:r>
          </w:p>
        </w:tc>
        <w:tc>
          <w:tcPr>
            <w:tcW w:w="992"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0</w:t>
            </w:r>
          </w:p>
        </w:tc>
      </w:tr>
      <w:tr w:rsidR="00795A46" w:rsidTr="00795A46">
        <w:trPr>
          <w:trHeight w:val="300"/>
        </w:trPr>
        <w:tc>
          <w:tcPr>
            <w:tcW w:w="2224" w:type="dxa"/>
            <w:vMerge w:val="restart"/>
            <w:tcBorders>
              <w:top w:val="nil"/>
              <w:left w:val="single" w:sz="4" w:space="0" w:color="auto"/>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 xml:space="preserve">41-45 év </w:t>
            </w:r>
            <w:r>
              <w:rPr>
                <w:rFonts w:cs="Calibri"/>
                <w:szCs w:val="22"/>
                <w:lang w:eastAsia="hu-HU"/>
              </w:rPr>
              <w:t>(TS 042)</w:t>
            </w:r>
          </w:p>
        </w:tc>
        <w:tc>
          <w:tcPr>
            <w:tcW w:w="117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Fő</w:t>
            </w:r>
          </w:p>
        </w:tc>
        <w:tc>
          <w:tcPr>
            <w:tcW w:w="109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13</w:t>
            </w:r>
          </w:p>
        </w:tc>
        <w:tc>
          <w:tcPr>
            <w:tcW w:w="1017"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18</w:t>
            </w:r>
          </w:p>
        </w:tc>
        <w:tc>
          <w:tcPr>
            <w:tcW w:w="109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12</w:t>
            </w:r>
          </w:p>
        </w:tc>
        <w:tc>
          <w:tcPr>
            <w:tcW w:w="1050"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11</w:t>
            </w:r>
          </w:p>
        </w:tc>
        <w:tc>
          <w:tcPr>
            <w:tcW w:w="992"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9</w:t>
            </w:r>
          </w:p>
        </w:tc>
        <w:tc>
          <w:tcPr>
            <w:tcW w:w="992"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r>
      <w:tr w:rsidR="00795A46" w:rsidTr="00795A46">
        <w:trPr>
          <w:trHeight w:val="300"/>
        </w:trPr>
        <w:tc>
          <w:tcPr>
            <w:tcW w:w="0" w:type="auto"/>
            <w:vMerge/>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left"/>
              <w:rPr>
                <w:rFonts w:cs="Calibri"/>
                <w:b/>
                <w:bCs/>
                <w:szCs w:val="22"/>
                <w:lang w:eastAsia="hu-HU"/>
              </w:rPr>
            </w:pPr>
          </w:p>
        </w:tc>
        <w:tc>
          <w:tcPr>
            <w:tcW w:w="117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w:t>
            </w:r>
          </w:p>
        </w:tc>
        <w:tc>
          <w:tcPr>
            <w:tcW w:w="1093"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8,55%</w:t>
            </w:r>
          </w:p>
        </w:tc>
        <w:tc>
          <w:tcPr>
            <w:tcW w:w="1017"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12,95%</w:t>
            </w:r>
          </w:p>
        </w:tc>
        <w:tc>
          <w:tcPr>
            <w:tcW w:w="1093"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11,76%</w:t>
            </w:r>
          </w:p>
        </w:tc>
        <w:tc>
          <w:tcPr>
            <w:tcW w:w="105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10,00%</w:t>
            </w:r>
          </w:p>
        </w:tc>
        <w:tc>
          <w:tcPr>
            <w:tcW w:w="992"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7,09%</w:t>
            </w:r>
          </w:p>
        </w:tc>
        <w:tc>
          <w:tcPr>
            <w:tcW w:w="992"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w:t>
            </w:r>
          </w:p>
        </w:tc>
      </w:tr>
      <w:tr w:rsidR="00795A46" w:rsidTr="00795A46">
        <w:trPr>
          <w:trHeight w:val="300"/>
        </w:trPr>
        <w:tc>
          <w:tcPr>
            <w:tcW w:w="2224" w:type="dxa"/>
            <w:vMerge w:val="restart"/>
            <w:tcBorders>
              <w:top w:val="nil"/>
              <w:left w:val="single" w:sz="4" w:space="0" w:color="auto"/>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 xml:space="preserve">46-50 év </w:t>
            </w:r>
            <w:r>
              <w:rPr>
                <w:rFonts w:cs="Calibri"/>
                <w:szCs w:val="22"/>
                <w:lang w:eastAsia="hu-HU"/>
              </w:rPr>
              <w:t>(TS 043)</w:t>
            </w:r>
          </w:p>
        </w:tc>
        <w:tc>
          <w:tcPr>
            <w:tcW w:w="117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Fő</w:t>
            </w:r>
          </w:p>
        </w:tc>
        <w:tc>
          <w:tcPr>
            <w:tcW w:w="109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w:t>
            </w:r>
          </w:p>
        </w:tc>
        <w:tc>
          <w:tcPr>
            <w:tcW w:w="1017"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8</w:t>
            </w:r>
          </w:p>
        </w:tc>
        <w:tc>
          <w:tcPr>
            <w:tcW w:w="109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8</w:t>
            </w:r>
          </w:p>
        </w:tc>
        <w:tc>
          <w:tcPr>
            <w:tcW w:w="1050"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4</w:t>
            </w:r>
          </w:p>
        </w:tc>
        <w:tc>
          <w:tcPr>
            <w:tcW w:w="992"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9</w:t>
            </w:r>
          </w:p>
        </w:tc>
        <w:tc>
          <w:tcPr>
            <w:tcW w:w="992"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r>
      <w:tr w:rsidR="00795A46" w:rsidTr="00795A46">
        <w:trPr>
          <w:trHeight w:val="300"/>
        </w:trPr>
        <w:tc>
          <w:tcPr>
            <w:tcW w:w="0" w:type="auto"/>
            <w:vMerge/>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left"/>
              <w:rPr>
                <w:rFonts w:cs="Calibri"/>
                <w:b/>
                <w:bCs/>
                <w:szCs w:val="22"/>
                <w:lang w:eastAsia="hu-HU"/>
              </w:rPr>
            </w:pPr>
          </w:p>
        </w:tc>
        <w:tc>
          <w:tcPr>
            <w:tcW w:w="117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w:t>
            </w:r>
          </w:p>
        </w:tc>
        <w:tc>
          <w:tcPr>
            <w:tcW w:w="1093"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13,16%</w:t>
            </w:r>
          </w:p>
        </w:tc>
        <w:tc>
          <w:tcPr>
            <w:tcW w:w="1017"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5,76%</w:t>
            </w:r>
          </w:p>
        </w:tc>
        <w:tc>
          <w:tcPr>
            <w:tcW w:w="1093"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7,84%</w:t>
            </w:r>
          </w:p>
        </w:tc>
        <w:tc>
          <w:tcPr>
            <w:tcW w:w="105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3,64%</w:t>
            </w:r>
          </w:p>
        </w:tc>
        <w:tc>
          <w:tcPr>
            <w:tcW w:w="992"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7,09%</w:t>
            </w:r>
          </w:p>
        </w:tc>
        <w:tc>
          <w:tcPr>
            <w:tcW w:w="992"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w:t>
            </w:r>
          </w:p>
        </w:tc>
      </w:tr>
      <w:tr w:rsidR="00795A46" w:rsidTr="00795A46">
        <w:trPr>
          <w:trHeight w:val="300"/>
        </w:trPr>
        <w:tc>
          <w:tcPr>
            <w:tcW w:w="2224" w:type="dxa"/>
            <w:vMerge w:val="restart"/>
            <w:tcBorders>
              <w:top w:val="nil"/>
              <w:left w:val="single" w:sz="4" w:space="0" w:color="auto"/>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 xml:space="preserve">51-55 év </w:t>
            </w:r>
            <w:r>
              <w:rPr>
                <w:rFonts w:cs="Calibri"/>
                <w:szCs w:val="22"/>
                <w:lang w:eastAsia="hu-HU"/>
              </w:rPr>
              <w:t>(TS 044)</w:t>
            </w:r>
          </w:p>
        </w:tc>
        <w:tc>
          <w:tcPr>
            <w:tcW w:w="117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Fő</w:t>
            </w:r>
          </w:p>
        </w:tc>
        <w:tc>
          <w:tcPr>
            <w:tcW w:w="109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19</w:t>
            </w:r>
          </w:p>
        </w:tc>
        <w:tc>
          <w:tcPr>
            <w:tcW w:w="1017"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13</w:t>
            </w:r>
          </w:p>
        </w:tc>
        <w:tc>
          <w:tcPr>
            <w:tcW w:w="109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11</w:t>
            </w:r>
          </w:p>
        </w:tc>
        <w:tc>
          <w:tcPr>
            <w:tcW w:w="1050"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12</w:t>
            </w:r>
          </w:p>
        </w:tc>
        <w:tc>
          <w:tcPr>
            <w:tcW w:w="992"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10</w:t>
            </w:r>
          </w:p>
        </w:tc>
        <w:tc>
          <w:tcPr>
            <w:tcW w:w="992"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r>
      <w:tr w:rsidR="00795A46" w:rsidTr="00795A46">
        <w:trPr>
          <w:trHeight w:val="300"/>
        </w:trPr>
        <w:tc>
          <w:tcPr>
            <w:tcW w:w="0" w:type="auto"/>
            <w:vMerge/>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left"/>
              <w:rPr>
                <w:rFonts w:cs="Calibri"/>
                <w:b/>
                <w:bCs/>
                <w:szCs w:val="22"/>
                <w:lang w:eastAsia="hu-HU"/>
              </w:rPr>
            </w:pPr>
          </w:p>
        </w:tc>
        <w:tc>
          <w:tcPr>
            <w:tcW w:w="117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w:t>
            </w:r>
          </w:p>
        </w:tc>
        <w:tc>
          <w:tcPr>
            <w:tcW w:w="1093"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12,50%</w:t>
            </w:r>
          </w:p>
        </w:tc>
        <w:tc>
          <w:tcPr>
            <w:tcW w:w="1017"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9,35%</w:t>
            </w:r>
          </w:p>
        </w:tc>
        <w:tc>
          <w:tcPr>
            <w:tcW w:w="1093"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10,78%</w:t>
            </w:r>
          </w:p>
        </w:tc>
        <w:tc>
          <w:tcPr>
            <w:tcW w:w="105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10,91%</w:t>
            </w:r>
          </w:p>
        </w:tc>
        <w:tc>
          <w:tcPr>
            <w:tcW w:w="992"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7,87%</w:t>
            </w:r>
          </w:p>
        </w:tc>
        <w:tc>
          <w:tcPr>
            <w:tcW w:w="992"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w:t>
            </w:r>
          </w:p>
        </w:tc>
      </w:tr>
      <w:tr w:rsidR="00795A46" w:rsidTr="00795A46">
        <w:trPr>
          <w:trHeight w:val="300"/>
        </w:trPr>
        <w:tc>
          <w:tcPr>
            <w:tcW w:w="2224" w:type="dxa"/>
            <w:vMerge w:val="restart"/>
            <w:tcBorders>
              <w:top w:val="nil"/>
              <w:left w:val="single" w:sz="4" w:space="0" w:color="auto"/>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 xml:space="preserve">56-60 év </w:t>
            </w:r>
            <w:r>
              <w:rPr>
                <w:rFonts w:cs="Calibri"/>
                <w:szCs w:val="22"/>
                <w:lang w:eastAsia="hu-HU"/>
              </w:rPr>
              <w:t>(TS 045)</w:t>
            </w:r>
          </w:p>
        </w:tc>
        <w:tc>
          <w:tcPr>
            <w:tcW w:w="117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Fő</w:t>
            </w:r>
          </w:p>
        </w:tc>
        <w:tc>
          <w:tcPr>
            <w:tcW w:w="109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17</w:t>
            </w:r>
          </w:p>
        </w:tc>
        <w:tc>
          <w:tcPr>
            <w:tcW w:w="1017"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17</w:t>
            </w:r>
          </w:p>
        </w:tc>
        <w:tc>
          <w:tcPr>
            <w:tcW w:w="109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10</w:t>
            </w:r>
          </w:p>
        </w:tc>
        <w:tc>
          <w:tcPr>
            <w:tcW w:w="1050"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16</w:t>
            </w:r>
          </w:p>
        </w:tc>
        <w:tc>
          <w:tcPr>
            <w:tcW w:w="992"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14</w:t>
            </w:r>
          </w:p>
        </w:tc>
        <w:tc>
          <w:tcPr>
            <w:tcW w:w="992"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r>
      <w:tr w:rsidR="00795A46" w:rsidTr="00795A46">
        <w:trPr>
          <w:trHeight w:val="300"/>
        </w:trPr>
        <w:tc>
          <w:tcPr>
            <w:tcW w:w="0" w:type="auto"/>
            <w:vMerge/>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left"/>
              <w:rPr>
                <w:rFonts w:cs="Calibri"/>
                <w:b/>
                <w:bCs/>
                <w:szCs w:val="22"/>
                <w:lang w:eastAsia="hu-HU"/>
              </w:rPr>
            </w:pPr>
          </w:p>
        </w:tc>
        <w:tc>
          <w:tcPr>
            <w:tcW w:w="117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w:t>
            </w:r>
          </w:p>
        </w:tc>
        <w:tc>
          <w:tcPr>
            <w:tcW w:w="1093"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11,18%</w:t>
            </w:r>
          </w:p>
        </w:tc>
        <w:tc>
          <w:tcPr>
            <w:tcW w:w="1017"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12,23%</w:t>
            </w:r>
          </w:p>
        </w:tc>
        <w:tc>
          <w:tcPr>
            <w:tcW w:w="1093"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9,80%</w:t>
            </w:r>
          </w:p>
        </w:tc>
        <w:tc>
          <w:tcPr>
            <w:tcW w:w="105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14,55%</w:t>
            </w:r>
          </w:p>
        </w:tc>
        <w:tc>
          <w:tcPr>
            <w:tcW w:w="992"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11,02%</w:t>
            </w:r>
          </w:p>
        </w:tc>
        <w:tc>
          <w:tcPr>
            <w:tcW w:w="992"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w:t>
            </w:r>
          </w:p>
        </w:tc>
      </w:tr>
      <w:tr w:rsidR="00795A46" w:rsidTr="00795A46">
        <w:trPr>
          <w:trHeight w:val="300"/>
        </w:trPr>
        <w:tc>
          <w:tcPr>
            <w:tcW w:w="2224" w:type="dxa"/>
            <w:vMerge w:val="restart"/>
            <w:tcBorders>
              <w:top w:val="nil"/>
              <w:left w:val="single" w:sz="4" w:space="0" w:color="auto"/>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61 éves, vagy afeletti</w:t>
            </w:r>
            <w:r>
              <w:rPr>
                <w:rFonts w:cs="Calibri"/>
                <w:szCs w:val="22"/>
                <w:lang w:eastAsia="hu-HU"/>
              </w:rPr>
              <w:t xml:space="preserve"> (TS 046)</w:t>
            </w:r>
          </w:p>
        </w:tc>
        <w:tc>
          <w:tcPr>
            <w:tcW w:w="117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Fő</w:t>
            </w:r>
          </w:p>
        </w:tc>
        <w:tc>
          <w:tcPr>
            <w:tcW w:w="109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10</w:t>
            </w:r>
          </w:p>
        </w:tc>
        <w:tc>
          <w:tcPr>
            <w:tcW w:w="1017"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10</w:t>
            </w:r>
          </w:p>
        </w:tc>
        <w:tc>
          <w:tcPr>
            <w:tcW w:w="109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9</w:t>
            </w:r>
          </w:p>
        </w:tc>
        <w:tc>
          <w:tcPr>
            <w:tcW w:w="1050"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18</w:t>
            </w:r>
          </w:p>
        </w:tc>
        <w:tc>
          <w:tcPr>
            <w:tcW w:w="992"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18</w:t>
            </w:r>
          </w:p>
        </w:tc>
        <w:tc>
          <w:tcPr>
            <w:tcW w:w="992"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r>
      <w:tr w:rsidR="00795A46" w:rsidTr="00795A46">
        <w:trPr>
          <w:trHeight w:val="300"/>
        </w:trPr>
        <w:tc>
          <w:tcPr>
            <w:tcW w:w="0" w:type="auto"/>
            <w:vMerge/>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left"/>
              <w:rPr>
                <w:rFonts w:cs="Calibri"/>
                <w:b/>
                <w:bCs/>
                <w:szCs w:val="22"/>
                <w:lang w:eastAsia="hu-HU"/>
              </w:rPr>
            </w:pPr>
          </w:p>
        </w:tc>
        <w:tc>
          <w:tcPr>
            <w:tcW w:w="117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w:t>
            </w:r>
          </w:p>
        </w:tc>
        <w:tc>
          <w:tcPr>
            <w:tcW w:w="1093"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6,58%</w:t>
            </w:r>
          </w:p>
        </w:tc>
        <w:tc>
          <w:tcPr>
            <w:tcW w:w="1017"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7,19%</w:t>
            </w:r>
          </w:p>
        </w:tc>
        <w:tc>
          <w:tcPr>
            <w:tcW w:w="1093"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8,82%</w:t>
            </w:r>
          </w:p>
        </w:tc>
        <w:tc>
          <w:tcPr>
            <w:tcW w:w="105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16,36%</w:t>
            </w:r>
          </w:p>
        </w:tc>
        <w:tc>
          <w:tcPr>
            <w:tcW w:w="992"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14,17%</w:t>
            </w:r>
          </w:p>
        </w:tc>
        <w:tc>
          <w:tcPr>
            <w:tcW w:w="992"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w:t>
            </w:r>
          </w:p>
        </w:tc>
      </w:tr>
    </w:tbl>
    <w:p w:rsidR="00795A46" w:rsidRDefault="00795A46" w:rsidP="00795A46">
      <w:pPr>
        <w:pStyle w:val="Tblacm"/>
        <w:rPr>
          <w:rFonts w:ascii="Times New Roman" w:hAnsi="Times New Roman"/>
          <w:sz w:val="24"/>
        </w:rPr>
      </w:pPr>
    </w:p>
    <w:p w:rsidR="00795A46" w:rsidRDefault="00795A46" w:rsidP="00795A46">
      <w:pPr>
        <w:pStyle w:val="Tblacm"/>
        <w:rPr>
          <w:rFonts w:ascii="Times New Roman" w:hAnsi="Times New Roman"/>
          <w:sz w:val="24"/>
        </w:rPr>
      </w:pPr>
      <w:r>
        <w:rPr>
          <w:rFonts w:ascii="Times New Roman" w:hAnsi="Times New Roman"/>
          <w:sz w:val="24"/>
        </w:rPr>
        <w:t>Forrás: TeIR, Nemzeti Foglalkoztatási Szolgálat</w:t>
      </w:r>
    </w:p>
    <w:p w:rsidR="00795A46" w:rsidRDefault="00795A46" w:rsidP="00795A46">
      <w:pPr>
        <w:pStyle w:val="Tblacm"/>
        <w:rPr>
          <w:rFonts w:ascii="Times New Roman" w:hAnsi="Times New Roman"/>
          <w:sz w:val="24"/>
        </w:rPr>
      </w:pPr>
    </w:p>
    <w:p w:rsidR="00795A46" w:rsidRDefault="00795A46" w:rsidP="00795A46">
      <w:pPr>
        <w:pStyle w:val="Tblacm"/>
        <w:rPr>
          <w:rFonts w:ascii="Times New Roman" w:hAnsi="Times New Roman"/>
          <w:color w:val="000000" w:themeColor="text1"/>
          <w:sz w:val="24"/>
        </w:rPr>
      </w:pPr>
    </w:p>
    <w:p w:rsidR="00795A46" w:rsidRDefault="00795A46" w:rsidP="00795A46">
      <w:pPr>
        <w:rPr>
          <w:rFonts w:ascii="Times New Roman" w:hAnsi="Times New Roman"/>
          <w:color w:val="000000" w:themeColor="text1"/>
          <w:sz w:val="24"/>
        </w:rPr>
      </w:pPr>
      <w:r>
        <w:rPr>
          <w:rFonts w:ascii="Times New Roman" w:hAnsi="Times New Roman"/>
          <w:color w:val="000000" w:themeColor="text1"/>
          <w:sz w:val="24"/>
        </w:rPr>
        <w:t>A HEP elkészítési útmutatója előírja, hogy itt számoljunk be azokról a személyekről, akik valamilyen okból hátrányos megkülönböztetést szenvednek a foglalkoztatás terén.</w:t>
      </w:r>
      <w:r>
        <w:rPr>
          <w:rFonts w:ascii="Times New Roman" w:hAnsi="Times New Roman"/>
          <w:color w:val="FF0000"/>
          <w:sz w:val="24"/>
        </w:rPr>
        <w:t xml:space="preserve"> </w:t>
      </w:r>
      <w:r>
        <w:rPr>
          <w:rFonts w:ascii="Times New Roman" w:hAnsi="Times New Roman"/>
          <w:color w:val="000000" w:themeColor="text1"/>
          <w:sz w:val="24"/>
        </w:rPr>
        <w:t>Csorváson általában nem jellemző, hogy az öregségi nyugdíj korhatárát betöltött személyek a nyugdíjba vonulás helyett inkább álláskeresőként regisztrálnának, ilyenről nem szerzünk tudomást, statisztikák sem készülnek a tárgyban.</w:t>
      </w:r>
      <w:r>
        <w:rPr>
          <w:rFonts w:ascii="Times New Roman" w:hAnsi="Times New Roman"/>
          <w:color w:val="FF0000"/>
          <w:sz w:val="24"/>
        </w:rPr>
        <w:t xml:space="preserve"> </w:t>
      </w:r>
      <w:r>
        <w:rPr>
          <w:rFonts w:ascii="Times New Roman" w:hAnsi="Times New Roman"/>
          <w:color w:val="000000" w:themeColor="text1"/>
          <w:sz w:val="24"/>
        </w:rPr>
        <w:t>Mivel azonban a munkavállalói-, és általában az aktív életkor meghosszabbodása következett be, ezért fontos, hogy előtérbe helyezzük az egészség megőrzését, az állapotromlás észrevételét és kezelését, az idősebb korosztály számára is megfelelő munkavégzési környezet megteremtését, valamint az élethosszig tartó tanulás népszerűsítését szolgáló szempontokat.</w:t>
      </w:r>
    </w:p>
    <w:p w:rsidR="00795A46" w:rsidRDefault="00795A46" w:rsidP="00795A46">
      <w:pPr>
        <w:rPr>
          <w:rFonts w:ascii="Times New Roman" w:hAnsi="Times New Roman"/>
          <w:color w:val="000000" w:themeColor="text1"/>
          <w:sz w:val="24"/>
        </w:rPr>
      </w:pPr>
    </w:p>
    <w:p w:rsidR="00795A46" w:rsidRDefault="00795A46" w:rsidP="00795A46">
      <w:pPr>
        <w:autoSpaceDE w:val="0"/>
        <w:spacing w:after="20"/>
        <w:rPr>
          <w:rFonts w:ascii="Times New Roman" w:hAnsi="Times New Roman"/>
          <w:i/>
          <w:iCs/>
          <w:sz w:val="20"/>
          <w:szCs w:val="20"/>
        </w:rPr>
      </w:pPr>
    </w:p>
    <w:p w:rsidR="00795A46" w:rsidRDefault="00795A46" w:rsidP="00795A46">
      <w:pPr>
        <w:autoSpaceDE w:val="0"/>
        <w:spacing w:after="20"/>
        <w:rPr>
          <w:rFonts w:ascii="Times New Roman" w:hAnsi="Times New Roman"/>
          <w:b/>
          <w:sz w:val="24"/>
        </w:rPr>
      </w:pPr>
      <w:r>
        <w:rPr>
          <w:rFonts w:ascii="Times New Roman" w:hAnsi="Times New Roman"/>
          <w:b/>
          <w:i/>
          <w:iCs/>
          <w:sz w:val="24"/>
        </w:rPr>
        <w:t>b)</w:t>
      </w:r>
      <w:r>
        <w:rPr>
          <w:rFonts w:ascii="Times New Roman" w:hAnsi="Times New Roman"/>
          <w:b/>
          <w:sz w:val="24"/>
        </w:rPr>
        <w:t xml:space="preserve"> tevékeny időskor (pl. élethosszig tartó tanulás, idősek, nyugdíjasok foglalkoztatásának lehetőségei a közintézményekben, foglakoztatásukat támogató egyéb programok a településen)</w:t>
      </w:r>
    </w:p>
    <w:p w:rsidR="00795A46" w:rsidRDefault="00795A46" w:rsidP="00795A46">
      <w:pPr>
        <w:pStyle w:val="Tblacm"/>
        <w:rPr>
          <w:rFonts w:ascii="Times New Roman" w:hAnsi="Times New Roman"/>
          <w:sz w:val="24"/>
          <w:szCs w:val="24"/>
        </w:rPr>
      </w:pPr>
    </w:p>
    <w:p w:rsidR="00795A46" w:rsidRDefault="00795A46" w:rsidP="00795A46">
      <w:pPr>
        <w:rPr>
          <w:rFonts w:ascii="Times New Roman" w:hAnsi="Times New Roman"/>
          <w:color w:val="000000" w:themeColor="text1"/>
          <w:sz w:val="24"/>
          <w:shd w:val="clear" w:color="auto" w:fill="FFFFFF"/>
        </w:rPr>
      </w:pPr>
      <w:bookmarkStart w:id="110" w:name="__RefHeading__225_1906745769"/>
      <w:bookmarkEnd w:id="110"/>
      <w:r>
        <w:rPr>
          <w:rFonts w:ascii="Times New Roman" w:hAnsi="Times New Roman"/>
          <w:color w:val="000000" w:themeColor="text1"/>
          <w:sz w:val="24"/>
          <w:shd w:val="clear" w:color="auto" w:fill="FFFFFF"/>
        </w:rPr>
        <w:t xml:space="preserve">A tevékeny időskor azt jelenti, hogy a kor előrehaladtával az emberek továbbra is jó egészségi állapotban, a munkával megelégedve, a mindennapi élet feladatait önállóbban ellátva töltik időskorukat, és aktív szerepet játszanak a társadalomban. </w:t>
      </w:r>
      <w:r>
        <w:rPr>
          <w:rStyle w:val="Kiemels2"/>
          <w:b w:val="0"/>
          <w:color w:val="000000" w:themeColor="text1"/>
          <w:sz w:val="24"/>
        </w:rPr>
        <w:t>A</w:t>
      </w:r>
      <w:r>
        <w:rPr>
          <w:rFonts w:ascii="Times New Roman" w:hAnsi="Times New Roman"/>
          <w:color w:val="000000" w:themeColor="text1"/>
          <w:sz w:val="24"/>
        </w:rPr>
        <w:t xml:space="preserve">hogyan azonban nő a várható élettartam egész Európában, úgy nő a nyugdíjkorhatár is. Sokan attól tartanak, hogy nem lesznek képesek munkahelyüket megtartani, vagy másik állást találni annyi ideig, ameddig az a tisztességes nyugdíj eléréséhez szükséges lenne. Jobb lehetőségeket kell biztosítani a munkaerő-piacon az idősebb munkavállalók számára is. </w:t>
      </w:r>
      <w:r>
        <w:rPr>
          <w:rStyle w:val="Kiemels2"/>
          <w:rFonts w:ascii="Times New Roman" w:hAnsi="Times New Roman"/>
          <w:b w:val="0"/>
          <w:color w:val="000000" w:themeColor="text1"/>
          <w:sz w:val="24"/>
        </w:rPr>
        <w:t xml:space="preserve">A </w:t>
      </w:r>
      <w:r>
        <w:rPr>
          <w:rFonts w:ascii="Times New Roman" w:hAnsi="Times New Roman"/>
          <w:color w:val="000000" w:themeColor="text1"/>
          <w:sz w:val="24"/>
        </w:rPr>
        <w:t>nyugdíjba vonulás nem jelenti azt, hogy valaki hasznavehetetlenné válik. Az idősebbek támaszként szolgálhatnak a társadalomban más személyek számára, általában saját szüleik, házastársuk vagy unokáik ellátásában segítenek. Az időskorral együtt jár az egészségi állapot romlása, a leépülés ellen azonban sok minden tehető. A lakókörnyezetben végrehajtott apró változtatások jelentős különbséget jelenthetnek a különböző egészségkárosodással és fogyatékossággal küszködők számára. A tevékeny időskor azt is jelenti, hogy az idősödő személyek lehetőséget kapnak arra, hogy továbbra is – és amilyen sokáig csak lehet – kezükben tartsák saját életüket.</w:t>
      </w:r>
    </w:p>
    <w:p w:rsidR="00795A46" w:rsidRDefault="00795A46" w:rsidP="00795A46">
      <w:pPr>
        <w:widowControl w:val="0"/>
        <w:rPr>
          <w:rFonts w:ascii="Times New Roman" w:hAnsi="Times New Roman"/>
          <w:color w:val="000000" w:themeColor="text1"/>
          <w:sz w:val="24"/>
        </w:rPr>
      </w:pPr>
      <w:r>
        <w:rPr>
          <w:rFonts w:ascii="Times New Roman" w:hAnsi="Times New Roman"/>
          <w:color w:val="000000" w:themeColor="text1"/>
          <w:sz w:val="24"/>
        </w:rPr>
        <w:t xml:space="preserve">A Csorvás Város Önkormányzata által fenntartott Egyesített Szociális Intézményben figyelnek arra, hogy a lakók elfoglalják magukat: foglalkozásokon vehetnek részt, ahol tevékenykedhetnek, hasznosnak érezhetik magukat. A foglalkoztatás által megtarthatók a kognitív képességek, a szunnyadó készségek újra felébreszthetők, illetve az értelmi és fizikális leépülés megállítható vagy legalább lassítható. </w:t>
      </w:r>
    </w:p>
    <w:p w:rsidR="00795A46" w:rsidRDefault="00795A46" w:rsidP="00795A46">
      <w:pPr>
        <w:autoSpaceDE w:val="0"/>
        <w:spacing w:after="20"/>
        <w:rPr>
          <w:rFonts w:ascii="Times New Roman" w:hAnsi="Times New Roman"/>
          <w:i/>
          <w:iCs/>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numPr>
          <w:ilvl w:val="0"/>
          <w:numId w:val="24"/>
        </w:numPr>
        <w:autoSpaceDE w:val="0"/>
        <w:spacing w:after="20"/>
        <w:ind w:left="0" w:firstLine="0"/>
        <w:rPr>
          <w:rFonts w:ascii="Times New Roman" w:hAnsi="Times New Roman"/>
          <w:b/>
          <w:sz w:val="24"/>
        </w:rPr>
      </w:pPr>
      <w:r>
        <w:rPr>
          <w:rFonts w:ascii="Times New Roman" w:hAnsi="Times New Roman"/>
          <w:b/>
          <w:sz w:val="24"/>
        </w:rPr>
        <w:t>hátrányos megkülönböztetés a foglalkoztatás területén</w:t>
      </w:r>
    </w:p>
    <w:p w:rsidR="00795A46" w:rsidRDefault="00795A46" w:rsidP="00795A46">
      <w:pPr>
        <w:pStyle w:val="Tblacm"/>
        <w:ind w:left="15"/>
        <w:rPr>
          <w:rFonts w:ascii="Times New Roman" w:hAnsi="Times New Roman"/>
        </w:rPr>
      </w:pPr>
    </w:p>
    <w:p w:rsidR="00795A46" w:rsidRDefault="00795A46" w:rsidP="00795A46">
      <w:pPr>
        <w:pStyle w:val="Tblacm"/>
        <w:ind w:left="15"/>
        <w:rPr>
          <w:rFonts w:ascii="Times New Roman" w:hAnsi="Times New Roman"/>
        </w:rPr>
      </w:pPr>
    </w:p>
    <w:p w:rsidR="00795A46" w:rsidRDefault="00795A46" w:rsidP="00795A46">
      <w:pPr>
        <w:pStyle w:val="Tblacm"/>
        <w:ind w:left="15"/>
        <w:rPr>
          <w:rFonts w:ascii="Times New Roman" w:hAnsi="Times New Roman"/>
          <w:color w:val="000000" w:themeColor="text1"/>
          <w:sz w:val="24"/>
          <w:szCs w:val="24"/>
        </w:rPr>
      </w:pPr>
      <w:r>
        <w:rPr>
          <w:rFonts w:ascii="Times New Roman" w:hAnsi="Times New Roman"/>
          <w:color w:val="000000" w:themeColor="text1"/>
          <w:sz w:val="24"/>
          <w:szCs w:val="24"/>
        </w:rPr>
        <w:t xml:space="preserve">A diszkrimináció felmérése rendkívül nehéz. Azt tudjuk a szakirodalomból, hogy az idősebb korosztály sokkal jobban kiszolgáltatott a munkaerő-piaci diszkriminációnak, tehát nehezebben helyezkednek el, és a munkahelyi leépítések is előbb érik el őket. </w:t>
      </w:r>
    </w:p>
    <w:p w:rsidR="00795A46" w:rsidRDefault="00795A46" w:rsidP="00795A46">
      <w:pPr>
        <w:pStyle w:val="Tblacm"/>
        <w:rPr>
          <w:rFonts w:ascii="Times New Roman" w:hAnsi="Times New Roman"/>
          <w:sz w:val="24"/>
          <w:szCs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bookmarkStart w:id="111" w:name="__RefHeading__227_1906745769"/>
      <w:bookmarkEnd w:id="111"/>
    </w:p>
    <w:p w:rsidR="00795A46" w:rsidRDefault="00795A46" w:rsidP="00795A46">
      <w:pPr>
        <w:autoSpaceDE w:val="0"/>
        <w:spacing w:after="20"/>
        <w:ind w:firstLine="142"/>
        <w:rPr>
          <w:rFonts w:ascii="Times New Roman" w:hAnsi="Times New Roman"/>
          <w:b/>
          <w:sz w:val="24"/>
        </w:rPr>
      </w:pPr>
      <w:r>
        <w:rPr>
          <w:rFonts w:ascii="Times New Roman" w:hAnsi="Times New Roman"/>
          <w:b/>
          <w:sz w:val="24"/>
        </w:rPr>
        <w:t>6.3 A közszolgáltatásokhoz, közösségi közlekedéshez, információhoz és a közösségi élet gyakorlásához való hozzáférés</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p>
    <w:p w:rsidR="00795A46" w:rsidRDefault="00795A46" w:rsidP="00795A46">
      <w:pPr>
        <w:widowControl w:val="0"/>
        <w:ind w:firstLine="708"/>
        <w:rPr>
          <w:rFonts w:ascii="Times New Roman" w:hAnsi="Times New Roman"/>
          <w:color w:val="000000" w:themeColor="text1"/>
          <w:sz w:val="24"/>
        </w:rPr>
      </w:pPr>
      <w:r>
        <w:rPr>
          <w:rFonts w:ascii="Times New Roman" w:hAnsi="Times New Roman"/>
          <w:color w:val="000000" w:themeColor="text1"/>
          <w:sz w:val="24"/>
        </w:rPr>
        <w:t xml:space="preserve">A helyi önkormányzatok feladata megszervezni a helyben biztosítható szociális alapellátásokat. Éppen ezért a szolgáltatások működtetésével kapcsolatos feladatoknak, felelősségeknek minél közelebb kell kerülniük a lakossághoz, akkor érzik a magukénak. Ezért az emberek sajátos szükségleteit legjobban az önkormányzatok, illetve a helyi szolgáltatók ismerik, ezáltal lehetővé válik </w:t>
      </w:r>
      <w:r>
        <w:rPr>
          <w:rFonts w:ascii="Times New Roman" w:hAnsi="Times New Roman"/>
          <w:iCs/>
          <w:color w:val="000000" w:themeColor="text1"/>
          <w:sz w:val="24"/>
        </w:rPr>
        <w:t xml:space="preserve">a helyi és egyéni körülményekhez jobban igazodó ellátás </w:t>
      </w:r>
      <w:r>
        <w:rPr>
          <w:rFonts w:ascii="Times New Roman" w:hAnsi="Times New Roman"/>
          <w:color w:val="000000" w:themeColor="text1"/>
          <w:sz w:val="24"/>
        </w:rPr>
        <w:t>biztosítása. Fontos alapelvként a szolgáltatásokhoz való egyenlő</w:t>
      </w:r>
      <w:r>
        <w:rPr>
          <w:rFonts w:ascii="Times New Roman" w:eastAsia="TimesNewRomanPS-ItalicMT" w:hAnsi="Times New Roman"/>
          <w:color w:val="000000" w:themeColor="text1"/>
          <w:sz w:val="24"/>
        </w:rPr>
        <w:t xml:space="preserve"> </w:t>
      </w:r>
      <w:r>
        <w:rPr>
          <w:rFonts w:ascii="Times New Roman" w:hAnsi="Times New Roman"/>
          <w:color w:val="000000" w:themeColor="text1"/>
          <w:sz w:val="24"/>
        </w:rPr>
        <w:t xml:space="preserve">hozzáférés esélyének a lehetőségét és a szolgáltatások minél magasabb szintű szakmai színvonalának biztosítását kell figyelembe venni és alkalmazni. </w:t>
      </w:r>
    </w:p>
    <w:p w:rsidR="00795A46" w:rsidRDefault="00795A46" w:rsidP="00795A46">
      <w:pPr>
        <w:rPr>
          <w:rFonts w:ascii="Times New Roman" w:hAnsi="Times New Roman"/>
          <w:color w:val="000000" w:themeColor="text1"/>
          <w:sz w:val="24"/>
        </w:rPr>
      </w:pPr>
    </w:p>
    <w:p w:rsidR="00795A46" w:rsidRDefault="00795A46" w:rsidP="00795A46">
      <w:pPr>
        <w:widowControl w:val="0"/>
        <w:ind w:firstLine="708"/>
        <w:rPr>
          <w:rFonts w:ascii="Times New Roman" w:hAnsi="Times New Roman"/>
          <w:color w:val="000000" w:themeColor="text1"/>
          <w:sz w:val="24"/>
        </w:rPr>
      </w:pPr>
      <w:r>
        <w:rPr>
          <w:rFonts w:ascii="Times New Roman" w:hAnsi="Times New Roman"/>
          <w:b/>
          <w:color w:val="000000" w:themeColor="text1"/>
          <w:sz w:val="24"/>
        </w:rPr>
        <w:t>Csorvás Város Önkormányzatának Egyesített Szociális Intézménye</w:t>
      </w:r>
      <w:r>
        <w:rPr>
          <w:rFonts w:ascii="Times New Roman" w:hAnsi="Times New Roman"/>
          <w:color w:val="000000" w:themeColor="text1"/>
          <w:sz w:val="24"/>
        </w:rPr>
        <w:t xml:space="preserve"> annak a lehetőségét kínálja a Csorvás területén élő, személyes gondoskodás szolgáltatásait igénylő időseknek, hogy a számukra naponta szükséges szociális alap-és szakellátásokat akadály nélkül, helyben igénybe vehetik. E szolgáltatások igénybevételének egyetlen valós gátja az intézmény férőhely-kapacitásának végessége, ugyanis a szolgáltatásaira olyan jelentős a túligénylés, hogy évek óta várólistát alkalmaznak. </w:t>
      </w:r>
    </w:p>
    <w:p w:rsidR="00795A46" w:rsidRDefault="00795A46" w:rsidP="00795A46">
      <w:pPr>
        <w:widowControl w:val="0"/>
        <w:rPr>
          <w:rFonts w:ascii="Times New Roman" w:hAnsi="Times New Roman"/>
          <w:color w:val="000000" w:themeColor="text1"/>
          <w:sz w:val="24"/>
        </w:rPr>
      </w:pPr>
      <w:r>
        <w:rPr>
          <w:rFonts w:ascii="Times New Roman" w:hAnsi="Times New Roman"/>
          <w:color w:val="000000" w:themeColor="text1"/>
          <w:sz w:val="24"/>
        </w:rPr>
        <w:t xml:space="preserve">Az Egyesített Szociális Intézmény alapszolgáltatásai között </w:t>
      </w:r>
      <w:r>
        <w:rPr>
          <w:rFonts w:ascii="Times New Roman" w:hAnsi="Times New Roman"/>
          <w:i/>
          <w:color w:val="000000" w:themeColor="text1"/>
          <w:sz w:val="24"/>
        </w:rPr>
        <w:t>házi segítségnyújtás</w:t>
      </w:r>
      <w:r>
        <w:rPr>
          <w:rFonts w:ascii="Times New Roman" w:hAnsi="Times New Roman"/>
          <w:color w:val="000000" w:themeColor="text1"/>
          <w:sz w:val="24"/>
        </w:rPr>
        <w:t xml:space="preserve"> keretében a szolgáltatást igénybe vevő személy saját lakókörnyezetében kell biztosítani az önálló életvitel fenntartása érdekében szükséges ellátást. Az </w:t>
      </w:r>
      <w:r>
        <w:rPr>
          <w:rFonts w:ascii="Times New Roman" w:hAnsi="Times New Roman"/>
          <w:i/>
          <w:color w:val="000000" w:themeColor="text1"/>
          <w:sz w:val="24"/>
        </w:rPr>
        <w:t>étkeztetés</w:t>
      </w:r>
      <w:r>
        <w:rPr>
          <w:rFonts w:ascii="Times New Roman" w:hAnsi="Times New Roman"/>
          <w:color w:val="000000" w:themeColor="text1"/>
          <w:sz w:val="24"/>
        </w:rPr>
        <w:t xml:space="preserve"> a leggyakrabban igényelt ellátási forma az idősek részéről, melynek keretében azoknak a </w:t>
      </w:r>
      <w:r>
        <w:rPr>
          <w:rFonts w:ascii="Times New Roman" w:hAnsi="Times New Roman"/>
          <w:iCs/>
          <w:color w:val="000000" w:themeColor="text1"/>
          <w:sz w:val="24"/>
        </w:rPr>
        <w:t>szociálisan rászorulóknak</w:t>
      </w:r>
      <w:r>
        <w:rPr>
          <w:rFonts w:ascii="Times New Roman" w:hAnsi="Times New Roman"/>
          <w:i/>
          <w:iCs/>
          <w:color w:val="000000" w:themeColor="text1"/>
          <w:sz w:val="24"/>
        </w:rPr>
        <w:t xml:space="preserve"> </w:t>
      </w:r>
      <w:r>
        <w:rPr>
          <w:rFonts w:ascii="Times New Roman" w:hAnsi="Times New Roman"/>
          <w:color w:val="000000" w:themeColor="text1"/>
          <w:sz w:val="24"/>
        </w:rPr>
        <w:t xml:space="preserve">a legalább napi egyszeri meleg étkeztetéséről kell gondoskodni, akik azt önmaguk, illetve eltartottjaik részére tartósan vagy átmeneti jelleggel nem képesek biztosítani. A </w:t>
      </w:r>
      <w:r>
        <w:rPr>
          <w:rFonts w:ascii="Times New Roman" w:hAnsi="Times New Roman"/>
          <w:i/>
          <w:color w:val="000000" w:themeColor="text1"/>
          <w:sz w:val="24"/>
        </w:rPr>
        <w:t>nappali ellátást</w:t>
      </w:r>
      <w:r>
        <w:rPr>
          <w:rFonts w:ascii="Times New Roman" w:hAnsi="Times New Roman"/>
          <w:color w:val="000000" w:themeColor="text1"/>
          <w:sz w:val="24"/>
        </w:rPr>
        <w:t xml:space="preserve"> azok a személyek vehetik elsősorban igénybe, akik a saját otthonukban élő, egészségi állapotuk vagy idős koruk miatt szociális és mentális támogatásra szoruló, önmaguk ellátására részben képes személyek. A szolgáltatás számukra biztosít lehetőséget a napközbeni tartózkodásra, társas kapcsolatokra, valamint az alapvető higiéniai szükségleteik kielégítésére, továbbá igény szerint megszervezik az ellátottak napközbeni étkeztetését is. A nappali ellátást 2018 óta szervezik, korábban erre nem mutatkozott igény. A résztvevők összetételétől függően felügyeletet biztosítanak, illetve foglalkozásokat tartanak. A nappali ellátást igénylők beszállítása az önkormányzat kisbuszával, személygépkocsijával történik, amennyiben az ellátott maga nem tudja megoldani a bejutást. </w:t>
      </w:r>
    </w:p>
    <w:p w:rsidR="00795A46" w:rsidRDefault="00795A46" w:rsidP="00795A46">
      <w:pPr>
        <w:widowControl w:val="0"/>
        <w:rPr>
          <w:rFonts w:ascii="Times New Roman" w:hAnsi="Times New Roman"/>
          <w:color w:val="000000" w:themeColor="text1"/>
          <w:sz w:val="24"/>
        </w:rPr>
      </w:pPr>
      <w:r>
        <w:rPr>
          <w:rFonts w:ascii="Times New Roman" w:hAnsi="Times New Roman"/>
          <w:color w:val="000000" w:themeColor="text1"/>
          <w:sz w:val="24"/>
        </w:rPr>
        <w:t xml:space="preserve">A szakosított ellátás keretében </w:t>
      </w:r>
      <w:r>
        <w:rPr>
          <w:rFonts w:ascii="Times New Roman" w:hAnsi="Times New Roman"/>
          <w:i/>
          <w:color w:val="000000" w:themeColor="text1"/>
          <w:sz w:val="24"/>
        </w:rPr>
        <w:t>ápolást, gondozást nyújtó tartós bentlakásos intézmény</w:t>
      </w:r>
      <w:r>
        <w:rPr>
          <w:rFonts w:ascii="Times New Roman" w:hAnsi="Times New Roman"/>
          <w:color w:val="000000" w:themeColor="text1"/>
          <w:sz w:val="24"/>
        </w:rPr>
        <w:t xml:space="preserve"> működik településünkön. Az önmaguk ellátására nem, vagy csak folyamatos segítséggel képes személyek napi legalább háromszori étkeztetéséről, szükség szerint ruházattal, illetve textíliával való ellátásáról, valamint lakhatásáról az ápolást, gondozást nyújtó intézményekben kell gondoskodni, feltéve, hogy ellátásuk más módon nem oldható meg. Ebben az ellátási formában folyamatosan, a nap 24 órájában biztosítják a jogszabályi kritériumoknak megfelelő teljes körű komplex ellátást. (fizikai-, egészségügyi-, mentálhigiénés ellátás, foglalkoztatás, érdekvédelem) Az idősek otthonában a napi 4 órát meghaladó gondozási szükségletű, de rendszeres fekvőbeteg, gyógyintézeti kezelést nem igénylő, a nyugdíjkorhatárt betöltött személyeket ápolják és gondozzák. Az időskorúakon kívül felvehető és ellátásban részesíthető az a 18. életévét betöltött, napi 4 órát meghaladó gondozási szükségletű személy is, aki betegsége miatt nem tud önmagáról gondoskodni. </w:t>
      </w:r>
    </w:p>
    <w:p w:rsidR="00795A46" w:rsidRDefault="00795A46" w:rsidP="00795A46">
      <w:pPr>
        <w:rPr>
          <w:rFonts w:ascii="Times New Roman" w:hAnsi="Times New Roman"/>
          <w:color w:val="000000" w:themeColor="text1"/>
          <w:sz w:val="24"/>
        </w:rPr>
      </w:pPr>
    </w:p>
    <w:p w:rsidR="00795A46" w:rsidRDefault="00795A46" w:rsidP="00795A46">
      <w:pPr>
        <w:ind w:firstLine="708"/>
        <w:rPr>
          <w:rFonts w:ascii="Times New Roman" w:hAnsi="Times New Roman"/>
          <w:color w:val="000000" w:themeColor="text1"/>
          <w:sz w:val="24"/>
        </w:rPr>
      </w:pPr>
      <w:r>
        <w:rPr>
          <w:rFonts w:ascii="Times New Roman" w:hAnsi="Times New Roman"/>
          <w:color w:val="000000" w:themeColor="text1"/>
          <w:sz w:val="24"/>
        </w:rPr>
        <w:t>Az intézménnyel kapcsolatban állóknak lehetőségük van az egészségügyi és szociális szolgáltatásokhoz hozzájutni. Igyekeznek maradéktalanul minden igényt kielégíteni, időnként egyedi igényeket is megoldanak. Kulturális és közművelődési szolgáltatásokhoz is hozzájuttatják azokat, akik ezt igénylik. A településen megszervezett bármilyen programra elkísérik azokat, akik ezt szeretnék. A település valamennyi lakóját érintő, de életkorukból adódóan főként az idősek esetében fordul elő, hogy haláluk után bankszámlájukhoz senki nem fér hozzá, az azon tárolt összeg hagyatéki eljárás alá kerül, ami megnehezíti az életben maradt hozzátartozók hozzáférését. Erre megoldás lehetne, ha az érintettek tudomást szerezhetnének pl. az ún. haláleseti rendelkezésről, mint lehetőségről.</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themeColor="text1"/>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autoSpaceDE w:val="0"/>
        <w:spacing w:after="20"/>
        <w:ind w:firstLine="142"/>
        <w:rPr>
          <w:rFonts w:ascii="Times New Roman" w:hAnsi="Times New Roman"/>
          <w:b/>
          <w:sz w:val="24"/>
        </w:rPr>
      </w:pPr>
      <w:r>
        <w:rPr>
          <w:rFonts w:ascii="Times New Roman" w:hAnsi="Times New Roman"/>
          <w:b/>
          <w:iCs/>
          <w:sz w:val="24"/>
        </w:rPr>
        <w:t>a)</w:t>
      </w:r>
      <w:r>
        <w:rPr>
          <w:rFonts w:ascii="Times New Roman" w:hAnsi="Times New Roman"/>
          <w:b/>
          <w:sz w:val="24"/>
        </w:rPr>
        <w:t xml:space="preserve"> az idősek egészségügyi és szociális szolgáltatásokhoz való hozzáférése</w:t>
      </w:r>
    </w:p>
    <w:p w:rsidR="00795A46" w:rsidRDefault="00795A46" w:rsidP="00795A46">
      <w:pPr>
        <w:pStyle w:val="Tblacm"/>
        <w:rPr>
          <w:rFonts w:ascii="Times New Roman" w:hAnsi="Times New Roman"/>
          <w:sz w:val="24"/>
          <w:szCs w:val="24"/>
          <w:shd w:val="clear" w:color="auto" w:fill="00FF00"/>
        </w:rPr>
      </w:pPr>
    </w:p>
    <w:p w:rsidR="00795A46" w:rsidRDefault="00795A46" w:rsidP="00795A46">
      <w:pPr>
        <w:pStyle w:val="Tblacm"/>
        <w:rPr>
          <w:rFonts w:ascii="Times New Roman" w:hAnsi="Times New Roman"/>
          <w:sz w:val="24"/>
          <w:szCs w:val="24"/>
          <w:shd w:val="clear" w:color="auto" w:fill="00FF00"/>
        </w:rPr>
      </w:pPr>
    </w:p>
    <w:p w:rsidR="00795A46" w:rsidRDefault="00795A46" w:rsidP="00795A46">
      <w:pPr>
        <w:pStyle w:val="Tblacm"/>
        <w:rPr>
          <w:rFonts w:ascii="Times New Roman" w:hAnsi="Times New Roman"/>
          <w:sz w:val="24"/>
          <w:szCs w:val="24"/>
          <w:shd w:val="clear" w:color="auto" w:fill="00FF00"/>
        </w:rPr>
      </w:pPr>
      <w:bookmarkStart w:id="112" w:name="__RefHeading__229_1906745769"/>
      <w:bookmarkEnd w:id="112"/>
      <w:r>
        <w:rPr>
          <w:rFonts w:ascii="Times New Roman" w:hAnsi="Times New Roman"/>
          <w:sz w:val="24"/>
          <w:szCs w:val="24"/>
          <w:shd w:val="clear" w:color="auto" w:fill="00FF00"/>
        </w:rPr>
        <w:t>6.3.1. számú táblázat - 64 évnél idősebb népesség és nappali ellátásban részesülő időskorúak száma</w:t>
      </w:r>
    </w:p>
    <w:p w:rsidR="00795A46" w:rsidRDefault="00795A46" w:rsidP="00795A46">
      <w:pPr>
        <w:pStyle w:val="Tblacm"/>
        <w:rPr>
          <w:rFonts w:ascii="Times New Roman" w:hAnsi="Times New Roman"/>
          <w:sz w:val="24"/>
          <w:szCs w:val="24"/>
          <w:shd w:val="clear" w:color="auto" w:fill="00FF00"/>
        </w:rPr>
      </w:pPr>
    </w:p>
    <w:tbl>
      <w:tblPr>
        <w:tblW w:w="9600" w:type="dxa"/>
        <w:tblCellMar>
          <w:left w:w="70" w:type="dxa"/>
          <w:right w:w="70" w:type="dxa"/>
        </w:tblCellMar>
        <w:tblLook w:val="04A0" w:firstRow="1" w:lastRow="0" w:firstColumn="1" w:lastColumn="0" w:noHBand="0" w:noVBand="1"/>
      </w:tblPr>
      <w:tblGrid>
        <w:gridCol w:w="840"/>
        <w:gridCol w:w="2260"/>
        <w:gridCol w:w="1720"/>
        <w:gridCol w:w="2380"/>
        <w:gridCol w:w="2400"/>
      </w:tblGrid>
      <w:tr w:rsidR="00795A46" w:rsidTr="00795A46">
        <w:trPr>
          <w:trHeight w:val="1380"/>
        </w:trPr>
        <w:tc>
          <w:tcPr>
            <w:tcW w:w="840" w:type="dxa"/>
            <w:vMerge w:val="restart"/>
            <w:tcBorders>
              <w:top w:val="single" w:sz="4" w:space="0" w:color="auto"/>
              <w:left w:val="single" w:sz="4" w:space="0" w:color="auto"/>
              <w:bottom w:val="single" w:sz="4" w:space="0" w:color="000000"/>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Év</w:t>
            </w:r>
          </w:p>
        </w:tc>
        <w:tc>
          <w:tcPr>
            <w:tcW w:w="226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65 év feletti lakosság száma</w:t>
            </w:r>
            <w:r>
              <w:rPr>
                <w:rFonts w:cs="Calibri"/>
                <w:b/>
                <w:bCs/>
                <w:szCs w:val="22"/>
                <w:lang w:eastAsia="hu-HU"/>
              </w:rPr>
              <w:br/>
            </w:r>
            <w:r>
              <w:rPr>
                <w:rFonts w:cs="Calibri"/>
                <w:szCs w:val="22"/>
                <w:lang w:eastAsia="hu-HU"/>
              </w:rPr>
              <w:t xml:space="preserve">(férfiak TS 026, </w:t>
            </w:r>
            <w:r>
              <w:rPr>
                <w:rFonts w:cs="Calibri"/>
                <w:szCs w:val="22"/>
                <w:lang w:eastAsia="hu-HU"/>
              </w:rPr>
              <w:br/>
              <w:t>nők TS 028)</w:t>
            </w:r>
          </w:p>
        </w:tc>
        <w:tc>
          <w:tcPr>
            <w:tcW w:w="1720" w:type="dxa"/>
            <w:tcBorders>
              <w:top w:val="single" w:sz="4" w:space="0" w:color="auto"/>
              <w:left w:val="nil"/>
              <w:bottom w:val="single" w:sz="4" w:space="0" w:color="auto"/>
              <w:right w:val="nil"/>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 xml:space="preserve">Nappali ellátásban részesülő </w:t>
            </w:r>
            <w:r>
              <w:rPr>
                <w:rFonts w:cs="Calibri"/>
                <w:b/>
                <w:bCs/>
                <w:szCs w:val="22"/>
                <w:lang w:eastAsia="hu-HU"/>
              </w:rPr>
              <w:br/>
              <w:t xml:space="preserve">időskorúak száma </w:t>
            </w:r>
            <w:r>
              <w:rPr>
                <w:rFonts w:cs="Calibri"/>
                <w:szCs w:val="22"/>
                <w:lang w:eastAsia="hu-HU"/>
              </w:rPr>
              <w:t>(TS 129)</w:t>
            </w:r>
          </w:p>
        </w:tc>
        <w:tc>
          <w:tcPr>
            <w:tcW w:w="2380"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 xml:space="preserve">Házi segítségnyújtásban </w:t>
            </w:r>
            <w:r>
              <w:rPr>
                <w:rFonts w:cs="Calibri"/>
                <w:b/>
                <w:bCs/>
                <w:szCs w:val="22"/>
                <w:lang w:eastAsia="hu-HU"/>
              </w:rPr>
              <w:br/>
              <w:t>részesülők száma</w:t>
            </w:r>
            <w:r>
              <w:rPr>
                <w:rFonts w:cs="Calibri"/>
                <w:b/>
                <w:bCs/>
                <w:szCs w:val="22"/>
                <w:lang w:eastAsia="hu-HU"/>
              </w:rPr>
              <w:br/>
            </w:r>
            <w:r>
              <w:rPr>
                <w:rFonts w:cs="Calibri"/>
                <w:szCs w:val="22"/>
                <w:lang w:eastAsia="hu-HU"/>
              </w:rPr>
              <w:t>(TS 130)</w:t>
            </w:r>
          </w:p>
        </w:tc>
        <w:tc>
          <w:tcPr>
            <w:tcW w:w="240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 xml:space="preserve">Szociális étkeztetésben </w:t>
            </w:r>
            <w:r>
              <w:rPr>
                <w:rFonts w:cs="Calibri"/>
                <w:b/>
                <w:bCs/>
                <w:color w:val="000000"/>
                <w:szCs w:val="22"/>
                <w:lang w:eastAsia="hu-HU"/>
              </w:rPr>
              <w:br/>
              <w:t xml:space="preserve">részesülők száma </w:t>
            </w:r>
            <w:r>
              <w:rPr>
                <w:rFonts w:cs="Calibri"/>
                <w:b/>
                <w:bCs/>
                <w:color w:val="000000"/>
                <w:szCs w:val="22"/>
                <w:lang w:eastAsia="hu-HU"/>
              </w:rPr>
              <w:br/>
            </w:r>
            <w:r>
              <w:rPr>
                <w:rFonts w:cs="Calibri"/>
                <w:color w:val="000000"/>
                <w:szCs w:val="22"/>
                <w:lang w:eastAsia="hu-HU"/>
              </w:rPr>
              <w:t>(TS 131)</w:t>
            </w:r>
          </w:p>
        </w:tc>
      </w:tr>
      <w:tr w:rsidR="00795A46" w:rsidTr="00795A46">
        <w:trPr>
          <w:trHeight w:val="439"/>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spacing w:line="256" w:lineRule="auto"/>
              <w:jc w:val="left"/>
              <w:rPr>
                <w:rFonts w:cs="Calibri"/>
                <w:b/>
                <w:bCs/>
                <w:szCs w:val="22"/>
                <w:lang w:eastAsia="hu-HU"/>
              </w:rPr>
            </w:pPr>
          </w:p>
        </w:tc>
        <w:tc>
          <w:tcPr>
            <w:tcW w:w="226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Fő</w:t>
            </w:r>
          </w:p>
        </w:tc>
        <w:tc>
          <w:tcPr>
            <w:tcW w:w="1720" w:type="dxa"/>
            <w:tcBorders>
              <w:top w:val="nil"/>
              <w:left w:val="nil"/>
              <w:bottom w:val="single" w:sz="4" w:space="0" w:color="auto"/>
              <w:right w:val="nil"/>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Fő</w:t>
            </w:r>
          </w:p>
        </w:tc>
        <w:tc>
          <w:tcPr>
            <w:tcW w:w="2380" w:type="dxa"/>
            <w:tcBorders>
              <w:top w:val="nil"/>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fő</w:t>
            </w:r>
          </w:p>
        </w:tc>
        <w:tc>
          <w:tcPr>
            <w:tcW w:w="240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fő</w:t>
            </w:r>
          </w:p>
        </w:tc>
      </w:tr>
      <w:tr w:rsidR="00795A46" w:rsidTr="00795A46">
        <w:trPr>
          <w:trHeight w:val="300"/>
        </w:trPr>
        <w:tc>
          <w:tcPr>
            <w:tcW w:w="8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2015</w:t>
            </w:r>
          </w:p>
        </w:tc>
        <w:tc>
          <w:tcPr>
            <w:tcW w:w="22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1 027</w:t>
            </w:r>
          </w:p>
        </w:tc>
        <w:tc>
          <w:tcPr>
            <w:tcW w:w="1720" w:type="dxa"/>
            <w:tcBorders>
              <w:top w:val="nil"/>
              <w:left w:val="nil"/>
              <w:bottom w:val="single" w:sz="4" w:space="0" w:color="auto"/>
              <w:right w:val="nil"/>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c>
          <w:tcPr>
            <w:tcW w:w="2380" w:type="dxa"/>
            <w:tcBorders>
              <w:top w:val="nil"/>
              <w:left w:val="single" w:sz="4" w:space="0" w:color="auto"/>
              <w:bottom w:val="single" w:sz="4" w:space="0" w:color="auto"/>
              <w:right w:val="nil"/>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182</w:t>
            </w:r>
          </w:p>
        </w:tc>
        <w:tc>
          <w:tcPr>
            <w:tcW w:w="24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192</w:t>
            </w:r>
          </w:p>
        </w:tc>
      </w:tr>
      <w:tr w:rsidR="00795A46" w:rsidTr="00795A46">
        <w:trPr>
          <w:trHeight w:val="300"/>
        </w:trPr>
        <w:tc>
          <w:tcPr>
            <w:tcW w:w="8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2016</w:t>
            </w:r>
          </w:p>
        </w:tc>
        <w:tc>
          <w:tcPr>
            <w:tcW w:w="22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1 023</w:t>
            </w:r>
          </w:p>
        </w:tc>
        <w:tc>
          <w:tcPr>
            <w:tcW w:w="1720" w:type="dxa"/>
            <w:tcBorders>
              <w:top w:val="nil"/>
              <w:left w:val="nil"/>
              <w:bottom w:val="single" w:sz="4" w:space="0" w:color="auto"/>
              <w:right w:val="nil"/>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c>
          <w:tcPr>
            <w:tcW w:w="2380" w:type="dxa"/>
            <w:tcBorders>
              <w:top w:val="nil"/>
              <w:left w:val="single" w:sz="4" w:space="0" w:color="auto"/>
              <w:bottom w:val="single" w:sz="4" w:space="0" w:color="auto"/>
              <w:right w:val="nil"/>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166</w:t>
            </w:r>
          </w:p>
        </w:tc>
        <w:tc>
          <w:tcPr>
            <w:tcW w:w="24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189</w:t>
            </w:r>
          </w:p>
        </w:tc>
      </w:tr>
      <w:tr w:rsidR="00795A46" w:rsidTr="00795A46">
        <w:trPr>
          <w:trHeight w:val="300"/>
        </w:trPr>
        <w:tc>
          <w:tcPr>
            <w:tcW w:w="8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2017</w:t>
            </w:r>
          </w:p>
        </w:tc>
        <w:tc>
          <w:tcPr>
            <w:tcW w:w="22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1 013</w:t>
            </w:r>
          </w:p>
        </w:tc>
        <w:tc>
          <w:tcPr>
            <w:tcW w:w="1720" w:type="dxa"/>
            <w:tcBorders>
              <w:top w:val="nil"/>
              <w:left w:val="nil"/>
              <w:bottom w:val="single" w:sz="4" w:space="0" w:color="auto"/>
              <w:right w:val="nil"/>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c>
          <w:tcPr>
            <w:tcW w:w="2380" w:type="dxa"/>
            <w:tcBorders>
              <w:top w:val="nil"/>
              <w:left w:val="single" w:sz="4" w:space="0" w:color="auto"/>
              <w:bottom w:val="single" w:sz="4" w:space="0" w:color="auto"/>
              <w:right w:val="nil"/>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148</w:t>
            </w:r>
          </w:p>
        </w:tc>
        <w:tc>
          <w:tcPr>
            <w:tcW w:w="24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185</w:t>
            </w:r>
          </w:p>
        </w:tc>
      </w:tr>
      <w:tr w:rsidR="00795A46" w:rsidTr="00795A46">
        <w:trPr>
          <w:trHeight w:val="300"/>
        </w:trPr>
        <w:tc>
          <w:tcPr>
            <w:tcW w:w="8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2018</w:t>
            </w:r>
          </w:p>
        </w:tc>
        <w:tc>
          <w:tcPr>
            <w:tcW w:w="22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1 024</w:t>
            </w:r>
          </w:p>
        </w:tc>
        <w:tc>
          <w:tcPr>
            <w:tcW w:w="1720" w:type="dxa"/>
            <w:tcBorders>
              <w:top w:val="nil"/>
              <w:left w:val="nil"/>
              <w:bottom w:val="single" w:sz="4" w:space="0" w:color="auto"/>
              <w:right w:val="nil"/>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14</w:t>
            </w:r>
          </w:p>
        </w:tc>
        <w:tc>
          <w:tcPr>
            <w:tcW w:w="2380" w:type="dxa"/>
            <w:tcBorders>
              <w:top w:val="nil"/>
              <w:left w:val="single" w:sz="4" w:space="0" w:color="auto"/>
              <w:bottom w:val="single" w:sz="4" w:space="0" w:color="auto"/>
              <w:right w:val="nil"/>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129</w:t>
            </w:r>
          </w:p>
        </w:tc>
        <w:tc>
          <w:tcPr>
            <w:tcW w:w="24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203</w:t>
            </w:r>
          </w:p>
        </w:tc>
      </w:tr>
      <w:tr w:rsidR="00795A46" w:rsidTr="00795A46">
        <w:trPr>
          <w:trHeight w:val="300"/>
        </w:trPr>
        <w:tc>
          <w:tcPr>
            <w:tcW w:w="8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2019</w:t>
            </w:r>
          </w:p>
        </w:tc>
        <w:tc>
          <w:tcPr>
            <w:tcW w:w="22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1 023</w:t>
            </w:r>
          </w:p>
        </w:tc>
        <w:tc>
          <w:tcPr>
            <w:tcW w:w="1720" w:type="dxa"/>
            <w:tcBorders>
              <w:top w:val="nil"/>
              <w:left w:val="nil"/>
              <w:bottom w:val="single" w:sz="4" w:space="0" w:color="auto"/>
              <w:right w:val="nil"/>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12</w:t>
            </w:r>
          </w:p>
        </w:tc>
        <w:tc>
          <w:tcPr>
            <w:tcW w:w="2380" w:type="dxa"/>
            <w:tcBorders>
              <w:top w:val="nil"/>
              <w:left w:val="single" w:sz="4" w:space="0" w:color="auto"/>
              <w:bottom w:val="single" w:sz="4" w:space="0" w:color="auto"/>
              <w:right w:val="nil"/>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113</w:t>
            </w:r>
          </w:p>
        </w:tc>
        <w:tc>
          <w:tcPr>
            <w:tcW w:w="24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197</w:t>
            </w:r>
          </w:p>
        </w:tc>
      </w:tr>
      <w:tr w:rsidR="00795A46" w:rsidTr="00795A46">
        <w:trPr>
          <w:trHeight w:val="300"/>
        </w:trPr>
        <w:tc>
          <w:tcPr>
            <w:tcW w:w="8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2020</w:t>
            </w:r>
          </w:p>
        </w:tc>
        <w:tc>
          <w:tcPr>
            <w:tcW w:w="22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c>
          <w:tcPr>
            <w:tcW w:w="1720" w:type="dxa"/>
            <w:tcBorders>
              <w:top w:val="nil"/>
              <w:left w:val="nil"/>
              <w:bottom w:val="single" w:sz="4" w:space="0" w:color="auto"/>
              <w:right w:val="nil"/>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c>
          <w:tcPr>
            <w:tcW w:w="2380" w:type="dxa"/>
            <w:tcBorders>
              <w:top w:val="nil"/>
              <w:left w:val="single" w:sz="4" w:space="0" w:color="auto"/>
              <w:bottom w:val="single" w:sz="4" w:space="0" w:color="auto"/>
              <w:right w:val="nil"/>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c>
          <w:tcPr>
            <w:tcW w:w="24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n.a.</w:t>
            </w:r>
          </w:p>
        </w:tc>
      </w:tr>
    </w:tbl>
    <w:p w:rsidR="00795A46" w:rsidRDefault="00795A46" w:rsidP="00795A46">
      <w:pPr>
        <w:rPr>
          <w:rFonts w:ascii="Times New Roman" w:hAnsi="Times New Roman"/>
          <w:sz w:val="20"/>
          <w:szCs w:val="20"/>
        </w:rPr>
      </w:pPr>
    </w:p>
    <w:p w:rsidR="00795A46" w:rsidRDefault="00795A46" w:rsidP="00795A46">
      <w:pPr>
        <w:rPr>
          <w:rFonts w:ascii="Times New Roman" w:hAnsi="Times New Roman"/>
          <w:sz w:val="24"/>
        </w:rPr>
      </w:pPr>
      <w:r>
        <w:rPr>
          <w:rFonts w:ascii="Times New Roman" w:hAnsi="Times New Roman"/>
          <w:sz w:val="24"/>
        </w:rPr>
        <w:t>Forrás: TeIR, KSH-Tstar</w:t>
      </w:r>
      <w:r>
        <w:rPr>
          <w:rFonts w:ascii="Times New Roman" w:hAnsi="Times New Roman"/>
          <w:sz w:val="24"/>
        </w:rPr>
        <w:tab/>
      </w:r>
      <w:r>
        <w:rPr>
          <w:rFonts w:ascii="Times New Roman" w:hAnsi="Times New Roman"/>
          <w:sz w:val="24"/>
        </w:rPr>
        <w:br/>
      </w:r>
    </w:p>
    <w:p w:rsidR="00795A46" w:rsidRDefault="00795A46" w:rsidP="00795A46">
      <w:pPr>
        <w:rPr>
          <w:rFonts w:ascii="Times New Roman" w:hAnsi="Times New Roman"/>
          <w:sz w:val="24"/>
        </w:rPr>
      </w:pPr>
      <w:r>
        <w:rPr>
          <w:noProof/>
          <w:lang w:eastAsia="hu-HU"/>
        </w:rPr>
        <w:drawing>
          <wp:inline distT="0" distB="0" distL="0" distR="0">
            <wp:extent cx="4476750" cy="2962275"/>
            <wp:effectExtent l="0" t="0" r="0" b="9525"/>
            <wp:docPr id="49" name="Diagram 4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95A46" w:rsidRDefault="00795A46" w:rsidP="00795A46">
      <w:pPr>
        <w:rPr>
          <w:rFonts w:ascii="Times New Roman" w:hAnsi="Times New Roman"/>
          <w:sz w:val="24"/>
        </w:rPr>
      </w:pPr>
    </w:p>
    <w:p w:rsidR="00795A46" w:rsidRDefault="00795A46" w:rsidP="00795A46">
      <w:pPr>
        <w:ind w:firstLine="708"/>
        <w:rPr>
          <w:rFonts w:ascii="Times New Roman" w:hAnsi="Times New Roman"/>
          <w:color w:val="000000" w:themeColor="text1"/>
          <w:sz w:val="24"/>
        </w:rPr>
      </w:pPr>
      <w:r>
        <w:rPr>
          <w:rFonts w:ascii="Times New Roman" w:hAnsi="Times New Roman"/>
          <w:color w:val="000000" w:themeColor="text1"/>
          <w:sz w:val="24"/>
        </w:rPr>
        <w:t>A 65 év feletti lakosok a település lakosságának több, mint egyötödét alkotják. Ez igen magas arány, és az is ismert, hogy igen sok az egyszemélyes háztartások száma, ezekben is leginkább özvegy nők élnek. Ebben a korban ez egyedüllét sajnos elmagányosodáshoz vezethet. Pozitívan befolyásolná az idősek állapotát, ha azonos korosztállyal, azonos problémákkal küzdőkkel tölthetné mindennapjait. Ezen segíthet a nappali ellátás, amely szolgáltatás igénybe vehető az Egyesített Szociális Intézményben.</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themeColor="text1"/>
        </w:rPr>
      </w:pPr>
    </w:p>
    <w:p w:rsidR="00795A46" w:rsidRDefault="00795A46" w:rsidP="00795A46">
      <w:pPr>
        <w:ind w:firstLine="708"/>
        <w:rPr>
          <w:rFonts w:ascii="Times New Roman" w:hAnsi="Times New Roman"/>
          <w:color w:val="000000" w:themeColor="text1"/>
          <w:sz w:val="24"/>
        </w:rPr>
      </w:pPr>
      <w:r>
        <w:rPr>
          <w:rFonts w:ascii="Times New Roman" w:hAnsi="Times New Roman"/>
          <w:color w:val="000000" w:themeColor="text1"/>
          <w:sz w:val="24"/>
        </w:rPr>
        <w:t xml:space="preserve">A települési önkormányzat fenntartásában működő szociális intézmény mellett a </w:t>
      </w:r>
      <w:r>
        <w:rPr>
          <w:rFonts w:ascii="Times New Roman" w:hAnsi="Times New Roman"/>
          <w:b/>
          <w:color w:val="000000" w:themeColor="text1"/>
          <w:sz w:val="24"/>
        </w:rPr>
        <w:t>Közösségi Misszió</w:t>
      </w:r>
      <w:r>
        <w:rPr>
          <w:rFonts w:ascii="Times New Roman" w:hAnsi="Times New Roman"/>
          <w:color w:val="000000" w:themeColor="text1"/>
          <w:sz w:val="24"/>
        </w:rPr>
        <w:t xml:space="preserve"> fenntartásában működő, békéscsabai járásszékhelyű Humán Szolgáltató Központ elnevezésű szociális alapellátásokat nyújtó szervezet is gondoskodik a városban élő idős, illetve beteg, de otthonukban élő emberekről. Feladatuknak tartják a személyi és környezeti higiéné megteremtése mellett az ellátottak egészségügyi, anyagi, jogi helyzetének megőrzését, annak javítását, az ápoltak elhagyatottságának megszüntetését, a gondozottak aktivitásának megtartásával. 10 éve működnek közre a házi segítségnyújtásban, itt közel 120 gondozottat tartanak nyilván. A házi segítségnyújtás keretében 10 házigondozó az alábbi feladatokat látja el: közreműködnek a lakások rendben tartásában, vállalják a mosogatást, a főzés előkészítését, az ügyintézésben való kísérést, a bevásárlást, ezen túl azon gondozottak esetében, akik nem képesek ellátni magukat, közreműködnek a fürdetésben, a mosdatásban, az ágy rendezésében és az ágyneműcserében, a gyógyszerek adagolásában és az otthoni ügyintézésben egyaránt. Az étkeztetés szolgáltatását 160-en igénylik. Ők 3 békéscsabai főzőkonyha étrendjéből választhatnak, amit Közösségi Misszió gondozói közreműködésével juttatnak el az ellátottakhoz. </w:t>
      </w:r>
    </w:p>
    <w:p w:rsidR="00795A46" w:rsidRDefault="00795A46" w:rsidP="00795A46">
      <w:pPr>
        <w:autoSpaceDE w:val="0"/>
        <w:spacing w:after="20"/>
        <w:rPr>
          <w:rFonts w:ascii="Times New Roman" w:hAnsi="Times New Roman"/>
          <w:i/>
          <w:iCs/>
          <w:sz w:val="24"/>
        </w:rPr>
      </w:pPr>
    </w:p>
    <w:p w:rsidR="00795A46" w:rsidRDefault="00795A46" w:rsidP="00795A46">
      <w:pPr>
        <w:autoSpaceDE w:val="0"/>
        <w:spacing w:after="20"/>
        <w:rPr>
          <w:rFonts w:ascii="Times New Roman" w:hAnsi="Times New Roman"/>
          <w:i/>
          <w:iCs/>
          <w:sz w:val="24"/>
        </w:rPr>
      </w:pPr>
    </w:p>
    <w:p w:rsidR="00795A46" w:rsidRDefault="00795A46" w:rsidP="00795A46">
      <w:pPr>
        <w:autoSpaceDE w:val="0"/>
        <w:spacing w:after="20"/>
        <w:rPr>
          <w:rFonts w:ascii="Times New Roman" w:hAnsi="Times New Roman"/>
          <w:b/>
          <w:sz w:val="24"/>
        </w:rPr>
      </w:pPr>
      <w:r>
        <w:rPr>
          <w:rFonts w:ascii="Times New Roman" w:hAnsi="Times New Roman"/>
          <w:b/>
          <w:i/>
          <w:iCs/>
          <w:sz w:val="24"/>
        </w:rPr>
        <w:t>b)</w:t>
      </w:r>
      <w:r>
        <w:rPr>
          <w:rFonts w:ascii="Times New Roman" w:hAnsi="Times New Roman"/>
          <w:b/>
          <w:sz w:val="24"/>
        </w:rPr>
        <w:t xml:space="preserve"> kulturális, közművelődési szolgáltatásokhoz való hozzáférés</w:t>
      </w:r>
    </w:p>
    <w:p w:rsidR="00795A46" w:rsidRDefault="00795A46" w:rsidP="00795A46">
      <w:pPr>
        <w:pStyle w:val="Tblacm"/>
        <w:rPr>
          <w:rFonts w:ascii="Times New Roman" w:hAnsi="Times New Roman"/>
          <w:sz w:val="24"/>
          <w:szCs w:val="24"/>
        </w:rPr>
      </w:pPr>
    </w:p>
    <w:p w:rsidR="00795A46" w:rsidRDefault="00795A46" w:rsidP="00795A46">
      <w:pPr>
        <w:pStyle w:val="Tblacm"/>
        <w:rPr>
          <w:rFonts w:ascii="Times New Roman" w:hAnsi="Times New Roman"/>
          <w:sz w:val="24"/>
          <w:szCs w:val="24"/>
        </w:rPr>
      </w:pPr>
    </w:p>
    <w:p w:rsidR="00795A46" w:rsidRDefault="00795A46" w:rsidP="00795A46">
      <w:pPr>
        <w:pStyle w:val="Tblacm"/>
        <w:tabs>
          <w:tab w:val="left" w:pos="709"/>
        </w:tabs>
        <w:rPr>
          <w:rFonts w:ascii="Times New Roman" w:hAnsi="Times New Roman"/>
          <w:color w:val="000000" w:themeColor="text1"/>
          <w:sz w:val="24"/>
          <w:szCs w:val="24"/>
        </w:rPr>
      </w:pPr>
      <w:bookmarkStart w:id="113" w:name="__RefHeading__233_1906745769"/>
      <w:r>
        <w:rPr>
          <w:rFonts w:ascii="Times New Roman" w:hAnsi="Times New Roman"/>
          <w:color w:val="FF0000"/>
          <w:sz w:val="24"/>
          <w:szCs w:val="24"/>
        </w:rPr>
        <w:tab/>
      </w:r>
      <w:r>
        <w:rPr>
          <w:rFonts w:ascii="Times New Roman" w:hAnsi="Times New Roman"/>
          <w:color w:val="000000" w:themeColor="text1"/>
          <w:sz w:val="24"/>
          <w:szCs w:val="24"/>
        </w:rPr>
        <w:t>A</w:t>
      </w:r>
      <w:bookmarkEnd w:id="113"/>
      <w:r>
        <w:rPr>
          <w:rFonts w:ascii="Times New Roman" w:hAnsi="Times New Roman"/>
          <w:color w:val="000000" w:themeColor="text1"/>
          <w:sz w:val="24"/>
          <w:szCs w:val="24"/>
        </w:rPr>
        <w:t xml:space="preserve"> kulturális, közművelődési szolgáltatásokhoz való hozzáférés tekintetében nem rendelkezünk adattal arról, hogy az idősek évente hány alkalommal látogatnak különböző rendezvényeket. Azonban Csorváson igen aktív nyugdíjas csoportok működnek. Az Egyesített Szociális Intézményen túl tevékenyen működik a Nyugdíjasok Érdekvédelmi Szervezete, és az Életet az éveknek elnevezésű nyugdíjas klub. A csoportok rendszeresen klub-foglalkozásokat tartanak, rendezvényeket szerveznek, népzenei fesztiválokon, nyugdíjas találkozókon vesznek részt. Többnyire csak a helyben szervezett rendezvényeket látogatják, színház, mozi, múzeum nincs a településen. Az ilyen programokhoz való hozzáférésre Békéscsabán, Gyulán, Szegeden van lehetőség, de ide el kell utazni. Az utazás jelentős költséggel jár, ami megterheli a nyugdíjasok egyébként is szűkös költségvetését. </w:t>
      </w:r>
    </w:p>
    <w:p w:rsidR="00795A46" w:rsidRDefault="00795A46" w:rsidP="00795A46">
      <w:pPr>
        <w:autoSpaceDE w:val="0"/>
        <w:spacing w:after="20"/>
        <w:rPr>
          <w:rFonts w:ascii="Times New Roman" w:hAnsi="Times New Roman"/>
          <w:i/>
          <w:iCs/>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i/>
          <w:iCs/>
          <w:sz w:val="24"/>
        </w:rPr>
        <w:t>c)</w:t>
      </w:r>
      <w:r>
        <w:rPr>
          <w:rFonts w:ascii="Times New Roman" w:hAnsi="Times New Roman"/>
          <w:b/>
          <w:sz w:val="24"/>
        </w:rPr>
        <w:t xml:space="preserve"> idősek informatikai jártassága</w:t>
      </w:r>
    </w:p>
    <w:p w:rsidR="00795A46" w:rsidRDefault="00795A46" w:rsidP="00795A46">
      <w:pPr>
        <w:pStyle w:val="Tblacm"/>
        <w:rPr>
          <w:rFonts w:ascii="Times New Roman" w:hAnsi="Times New Roman"/>
          <w:sz w:val="24"/>
          <w:szCs w:val="24"/>
        </w:rPr>
      </w:pPr>
    </w:p>
    <w:p w:rsidR="00795A46" w:rsidRDefault="00795A46" w:rsidP="00795A46">
      <w:pPr>
        <w:pStyle w:val="Tblacm"/>
        <w:rPr>
          <w:rFonts w:ascii="Times New Roman" w:hAnsi="Times New Roman"/>
          <w:sz w:val="24"/>
          <w:szCs w:val="24"/>
        </w:rPr>
      </w:pPr>
    </w:p>
    <w:p w:rsidR="00795A46" w:rsidRDefault="00795A46" w:rsidP="00795A46">
      <w:pPr>
        <w:autoSpaceDE w:val="0"/>
        <w:spacing w:after="20"/>
        <w:ind w:firstLine="708"/>
        <w:rPr>
          <w:rFonts w:ascii="Times New Roman" w:hAnsi="Times New Roman"/>
          <w:color w:val="000000" w:themeColor="text1"/>
          <w:sz w:val="24"/>
        </w:rPr>
      </w:pPr>
      <w:r>
        <w:rPr>
          <w:rFonts w:ascii="Times New Roman" w:hAnsi="Times New Roman"/>
          <w:color w:val="000000" w:themeColor="text1"/>
          <w:sz w:val="24"/>
        </w:rPr>
        <w:t>Az idősek informatikai jártassága kapcsán meg kell említeni, hogy ez a korosztály az, amelyik aktív időszakában a munkahelyén még alig, vagy egyáltalán nem használt számítógépet. Ezen a téren a technika rohamos fejlődése kevésbé érintette őket. Azonban napjainkban már nélkülözhetetlen eszközzé válik a számítógép, az okostelefon vagy a tablet, amelyek ma a kapcsolattartás legfontosabb eszközeivé váltak. Sok egyedül élő idős ember családja vidékre vagy külföldre költözött, ezekkel az „okoseszközökkel” a szeretteikkel való kapcsolattartást folytathatják hatékonyabban. Fontos cél, hogy minél több idős ember szerezzen informatikai ismereteket, fontos, hogy ismerjék a számítógép működését, hiszen a kommunikáció, a családdal való kapcsolattartás erőt ad az időseknek, tartalmasabbá teszi mindennapjaikat. Mindezek mellett a számítógép használatával sok hasznos ismeretre is szert tehetnek, érdeklődési körüknek megfelelő témákkal foglalkozva az elmagányosodás, beszűkülés is kevésbé érinti őket.</w:t>
      </w:r>
    </w:p>
    <w:p w:rsidR="00795A46" w:rsidRDefault="00795A46" w:rsidP="00795A46">
      <w:pPr>
        <w:autoSpaceDE w:val="0"/>
        <w:spacing w:after="20"/>
        <w:rPr>
          <w:rFonts w:ascii="Times New Roman" w:hAnsi="Times New Roman"/>
          <w:color w:val="000000" w:themeColor="text1"/>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i/>
          <w:iCs/>
          <w:sz w:val="24"/>
        </w:rPr>
        <w:t>d)</w:t>
      </w:r>
      <w:r>
        <w:rPr>
          <w:rFonts w:ascii="Times New Roman" w:hAnsi="Times New Roman"/>
          <w:b/>
          <w:sz w:val="24"/>
        </w:rPr>
        <w:t xml:space="preserve"> a generációk közötti programok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708"/>
        <w:rPr>
          <w:rFonts w:ascii="Times New Roman" w:hAnsi="Times New Roman"/>
          <w:sz w:val="24"/>
        </w:rPr>
      </w:pPr>
      <w:r>
        <w:rPr>
          <w:rFonts w:ascii="Times New Roman" w:hAnsi="Times New Roman"/>
          <w:sz w:val="24"/>
        </w:rPr>
        <w:t xml:space="preserve">A településen élő idősek számára nyitott bármelyik önkormányzati, civil szervezeti vagy intézményi program, amelyet a városi közérdeklődésre számot tartó módon meghirdettek.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Az Egyesített Szociális Intézmény programkínálatában szerepel egy családi nap, amelyen az intézmény lakói, ellátottjai mutatják be közösségi életüket, művészetüket, bepillantást engedve mindennapi tevékenyégükbe a városlakók, a családtagok és a fiatalabb generációk számára.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A Művelődési Ház teret ad a közösségi művelődésnek, az információáramlást tájékoztatásaival segíti, és rendezvényeivel megszólítja a város lakosságának legszélesebb rétegeit, így a különböző generációk egymásra találhatnak.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A Csorvási Híradó megnevezésű havi megjelenésű, nyomtatott sajtótermékünkben – amelyet mind a 2200 háztartás postaládájába eljuttatunk, ezzel biztosítjuk a közvetlen hozzáférést - minden generáció számára kínálunk programokat, együttműködési lehetőségeket, amelyekkel élnek is a település lakói.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Megjegyezzük, hogy a havilapot az önkormányzat weboldalán is közzétesszük, ezzel azoknak kedvezünk, akik már elköltöztek a településről, vagy hosszabb-rövidebb ideig távol tartózkodnak. Az abban szereplő programkínálatot olvasva, a rendezvényekre ellátogatva ők is találkozhatnak a településen élőkkel.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sz w:val="24"/>
        </w:rPr>
        <w:t>6.4 Az időseket, az életkorral járó sajátos igények kielégítését célzó programok a településen</w:t>
      </w:r>
    </w:p>
    <w:p w:rsidR="00795A46" w:rsidRDefault="00795A46" w:rsidP="00795A46">
      <w:pPr>
        <w:pStyle w:val="Tblacm"/>
        <w:rPr>
          <w:rFonts w:ascii="Times New Roman" w:hAnsi="Times New Roman"/>
          <w:sz w:val="24"/>
          <w:szCs w:val="24"/>
        </w:rPr>
      </w:pPr>
    </w:p>
    <w:p w:rsidR="00795A46" w:rsidRDefault="00795A46" w:rsidP="00795A46">
      <w:pPr>
        <w:pStyle w:val="Tblacm"/>
        <w:rPr>
          <w:rFonts w:ascii="Times New Roman" w:hAnsi="Times New Roman"/>
          <w:sz w:val="24"/>
          <w:szCs w:val="24"/>
        </w:rPr>
      </w:pPr>
    </w:p>
    <w:p w:rsidR="00795A46" w:rsidRDefault="00795A46" w:rsidP="00795A46">
      <w:pPr>
        <w:autoSpaceDE w:val="0"/>
        <w:spacing w:after="20"/>
        <w:ind w:firstLine="708"/>
        <w:rPr>
          <w:rFonts w:ascii="Times New Roman" w:hAnsi="Times New Roman"/>
          <w:color w:val="000000" w:themeColor="text1"/>
          <w:sz w:val="24"/>
        </w:rPr>
      </w:pPr>
      <w:bookmarkStart w:id="114" w:name="__RefHeading__237_1906745769"/>
      <w:bookmarkEnd w:id="114"/>
      <w:r>
        <w:rPr>
          <w:rFonts w:ascii="Times New Roman" w:hAnsi="Times New Roman"/>
          <w:color w:val="000000" w:themeColor="text1"/>
          <w:sz w:val="24"/>
        </w:rPr>
        <w:t xml:space="preserve">Az idősebb célcsoport igényeit kielégítő programok évente rendszeresek: nyugdíjas találkozók, népzenei találkozók, kiállítások (pl. kézimunka), kirándulások, kulturális programok. A településen működő nyugdíjas-szervezetek és az önkormányzat közötti együttműködés eredményeképpen a civil szervezetek térítésmentesen vagy kedvező áron juthatnak a rendezvényeik lebonyolítását biztosító helyszínhez. </w:t>
      </w:r>
    </w:p>
    <w:p w:rsidR="00795A46" w:rsidRDefault="00795A46" w:rsidP="00795A46">
      <w:pPr>
        <w:autoSpaceDE w:val="0"/>
        <w:spacing w:after="20"/>
        <w:ind w:firstLine="142"/>
        <w:rPr>
          <w:rFonts w:ascii="Times New Roman" w:hAnsi="Times New Roman"/>
          <w:color w:val="000000" w:themeColor="text1"/>
          <w:sz w:val="24"/>
        </w:rPr>
      </w:pPr>
    </w:p>
    <w:p w:rsidR="00795A46" w:rsidRDefault="00795A46" w:rsidP="00795A46">
      <w:pPr>
        <w:autoSpaceDE w:val="0"/>
        <w:spacing w:after="20"/>
        <w:ind w:firstLine="142"/>
        <w:rPr>
          <w:rFonts w:ascii="Times New Roman" w:hAnsi="Times New Roman"/>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sz w:val="24"/>
        </w:rPr>
        <w:t>6.5 Következtetések: problémák beazonosítása, fejlesztési lehetőségek meghatározása.</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708"/>
        <w:rPr>
          <w:rFonts w:ascii="Times New Roman" w:hAnsi="Times New Roman"/>
          <w:color w:val="000000" w:themeColor="text1"/>
          <w:sz w:val="24"/>
        </w:rPr>
      </w:pPr>
      <w:r>
        <w:rPr>
          <w:rFonts w:ascii="Times New Roman" w:hAnsi="Times New Roman"/>
          <w:color w:val="000000" w:themeColor="text1"/>
          <w:sz w:val="24"/>
        </w:rPr>
        <w:t xml:space="preserve">A város lakosságának több, mint egyötöde nyugdíjas. Kiemelten fontos a róluk való gondoskodás, és az, hogy számukra helyben biztosítsuk az igényeiknek megfelelő nappali ellátást. Korosztályuk megszólításához, az ő információval való ellátásukhoz nem megfelelő elérési út a digitális kommunikáció, hanem előnyben kell részesítenünk a nyomtatott sajtóterméket. A leghasznosabb kapcsolatteremtési mód velük a hivatali ügyintézés során a személyes kontaktus, az idősek aktívabb közösségi életének előmozdítása érdekében pedig közösségeiken keresztüli megszólításuk lehet célravezető az ismerőseik felkutatására és bevonására. Tájékoztatni szeretnénk az érdeklődőket a szociális ellátások vagy az özvegyi nyugdíj megszerezhetőségéről, a pénzintézeteknél elérhető haláleseti rendelkezésről, amellyel haláluk esetére elkerülhetővé teszik a hátrahagyott szeretteik anyagi nehézségbe kerülését.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themeColor="text1"/>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themeColor="text1"/>
          <w:sz w:val="20"/>
          <w:szCs w:val="20"/>
        </w:rPr>
      </w:pPr>
    </w:p>
    <w:tbl>
      <w:tblPr>
        <w:tblW w:w="9952" w:type="dxa"/>
        <w:tblInd w:w="108" w:type="dxa"/>
        <w:tblLayout w:type="fixed"/>
        <w:tblLook w:val="04A0" w:firstRow="1" w:lastRow="0" w:firstColumn="1" w:lastColumn="0" w:noHBand="0" w:noVBand="1"/>
      </w:tblPr>
      <w:tblGrid>
        <w:gridCol w:w="4892"/>
        <w:gridCol w:w="5060"/>
      </w:tblGrid>
      <w:tr w:rsidR="00795A46" w:rsidTr="002E140C">
        <w:tc>
          <w:tcPr>
            <w:tcW w:w="9952" w:type="dxa"/>
            <w:gridSpan w:val="2"/>
            <w:tcBorders>
              <w:top w:val="single" w:sz="4" w:space="0" w:color="000000"/>
              <w:left w:val="single" w:sz="4" w:space="0" w:color="000000"/>
              <w:bottom w:val="single" w:sz="4" w:space="0" w:color="000000"/>
              <w:right w:val="single" w:sz="4" w:space="0" w:color="000000"/>
            </w:tcBorders>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jc w:val="center"/>
              <w:rPr>
                <w:rFonts w:ascii="Times New Roman" w:hAnsi="Times New Roman"/>
                <w:color w:val="000000" w:themeColor="text1"/>
                <w:sz w:val="24"/>
              </w:rPr>
            </w:pPr>
            <w:r>
              <w:rPr>
                <w:rFonts w:ascii="Times New Roman" w:hAnsi="Times New Roman"/>
                <w:color w:val="000000" w:themeColor="text1"/>
                <w:sz w:val="24"/>
              </w:rPr>
              <w:t>Az idősek helyzete, esélyegyenlősége vizsgálata során településünkön</w:t>
            </w:r>
          </w:p>
          <w:p w:rsidR="00795A46" w:rsidRDefault="00795A46">
            <w:pPr>
              <w:pStyle w:val="NormlCalibri11"/>
              <w:pBdr>
                <w:top w:val="none" w:sz="0" w:space="0" w:color="auto"/>
                <w:left w:val="none" w:sz="0" w:space="0" w:color="auto"/>
                <w:bottom w:val="none" w:sz="0" w:space="0" w:color="auto"/>
                <w:right w:val="none" w:sz="0" w:space="0" w:color="auto"/>
              </w:pBdr>
              <w:spacing w:line="256" w:lineRule="auto"/>
              <w:jc w:val="center"/>
              <w:rPr>
                <w:rFonts w:ascii="Times New Roman" w:hAnsi="Times New Roman"/>
                <w:color w:val="000000" w:themeColor="text1"/>
                <w:sz w:val="24"/>
              </w:rPr>
            </w:pPr>
          </w:p>
        </w:tc>
      </w:tr>
      <w:tr w:rsidR="00795A46" w:rsidTr="002E140C">
        <w:tc>
          <w:tcPr>
            <w:tcW w:w="4892" w:type="dxa"/>
            <w:tcBorders>
              <w:top w:val="single" w:sz="4" w:space="0" w:color="000000"/>
              <w:left w:val="single" w:sz="4" w:space="0" w:color="000000"/>
              <w:bottom w:val="single" w:sz="4" w:space="0" w:color="000000"/>
              <w:right w:val="nil"/>
            </w:tcBorders>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jc w:val="center"/>
              <w:rPr>
                <w:rFonts w:ascii="Times New Roman" w:hAnsi="Times New Roman"/>
                <w:color w:val="000000" w:themeColor="text1"/>
                <w:sz w:val="24"/>
              </w:rPr>
            </w:pPr>
            <w:r>
              <w:rPr>
                <w:rFonts w:ascii="Times New Roman" w:hAnsi="Times New Roman"/>
                <w:color w:val="000000" w:themeColor="text1"/>
                <w:sz w:val="24"/>
              </w:rPr>
              <w:t>beazonosított problémák</w:t>
            </w:r>
          </w:p>
          <w:p w:rsidR="00795A46" w:rsidRDefault="00795A46">
            <w:pPr>
              <w:pStyle w:val="NormlCalibri11"/>
              <w:pBdr>
                <w:top w:val="none" w:sz="0" w:space="0" w:color="auto"/>
                <w:left w:val="none" w:sz="0" w:space="0" w:color="auto"/>
                <w:bottom w:val="none" w:sz="0" w:space="0" w:color="auto"/>
                <w:right w:val="none" w:sz="0" w:space="0" w:color="auto"/>
              </w:pBdr>
              <w:spacing w:line="256" w:lineRule="auto"/>
              <w:jc w:val="center"/>
              <w:rPr>
                <w:rFonts w:ascii="Times New Roman" w:hAnsi="Times New Roman"/>
                <w:color w:val="000000" w:themeColor="text1"/>
                <w:sz w:val="24"/>
              </w:rPr>
            </w:pPr>
          </w:p>
        </w:tc>
        <w:tc>
          <w:tcPr>
            <w:tcW w:w="5060" w:type="dxa"/>
            <w:tcBorders>
              <w:top w:val="single" w:sz="4" w:space="0" w:color="000000"/>
              <w:left w:val="single" w:sz="4" w:space="0" w:color="000000"/>
              <w:bottom w:val="single" w:sz="4" w:space="0" w:color="000000"/>
              <w:right w:val="single" w:sz="4" w:space="0" w:color="000000"/>
            </w:tcBorders>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jc w:val="center"/>
              <w:rPr>
                <w:rFonts w:ascii="Times New Roman" w:hAnsi="Times New Roman"/>
                <w:color w:val="000000" w:themeColor="text1"/>
                <w:sz w:val="24"/>
              </w:rPr>
            </w:pPr>
            <w:r>
              <w:rPr>
                <w:rFonts w:ascii="Times New Roman" w:hAnsi="Times New Roman"/>
                <w:color w:val="000000" w:themeColor="text1"/>
                <w:sz w:val="24"/>
              </w:rPr>
              <w:t>fejlesztési lehetőségek</w:t>
            </w:r>
          </w:p>
          <w:p w:rsidR="00795A46" w:rsidRDefault="00795A46">
            <w:pPr>
              <w:pStyle w:val="NormlCalibri11"/>
              <w:pBdr>
                <w:top w:val="none" w:sz="0" w:space="0" w:color="auto"/>
                <w:left w:val="none" w:sz="0" w:space="0" w:color="auto"/>
                <w:bottom w:val="none" w:sz="0" w:space="0" w:color="auto"/>
                <w:right w:val="none" w:sz="0" w:space="0" w:color="auto"/>
              </w:pBdr>
              <w:spacing w:line="256" w:lineRule="auto"/>
              <w:jc w:val="center"/>
              <w:rPr>
                <w:rFonts w:ascii="Times New Roman" w:hAnsi="Times New Roman"/>
                <w:color w:val="000000" w:themeColor="text1"/>
                <w:sz w:val="24"/>
              </w:rPr>
            </w:pPr>
          </w:p>
        </w:tc>
      </w:tr>
      <w:tr w:rsidR="00795A46" w:rsidTr="002E140C">
        <w:tc>
          <w:tcPr>
            <w:tcW w:w="4892"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bookmarkStart w:id="115" w:name="_Hlk522180991"/>
            <w:r>
              <w:rPr>
                <w:rFonts w:ascii="Times New Roman" w:hAnsi="Times New Roman"/>
                <w:color w:val="000000" w:themeColor="text1"/>
                <w:sz w:val="24"/>
              </w:rPr>
              <w:t xml:space="preserve"> Az idősek informatikai jártasságának hiánya tapasztalható, ami a gyors, online ügyintézést is hátráltatja. </w:t>
            </w:r>
          </w:p>
        </w:tc>
        <w:tc>
          <w:tcPr>
            <w:tcW w:w="5060"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A technika fejlődésével fel kell kelteni az idősebb korosztály érdeklődését az informatikai eszközök mindennapi alkalmazásának hasznossága iránt, képzést és tájékoztatást kell nyújtani a településen elérhető szolgáltatókról (pl. könyvtár) és szolgáltatásokról (pl. free wifi pontok a településen, gyors ügyfélkapu regisztráció a könyvtárban).</w:t>
            </w:r>
          </w:p>
        </w:tc>
      </w:tr>
      <w:tr w:rsidR="00795A46" w:rsidTr="002E140C">
        <w:tc>
          <w:tcPr>
            <w:tcW w:w="4892"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Az idősek leginkább egyedül, egyszemélyes háztartásban élnek, ez elmagányosodáshoz vezethet, ugyanakkor egészségük romlik. Az egyedüllét és az infokommunikációs lehetőségeik korlátozottsága miatt problémáikat nem tudják időben jelezni, így azok megoldása késik vagy elmarad. </w:t>
            </w:r>
          </w:p>
        </w:tc>
        <w:tc>
          <w:tcPr>
            <w:tcW w:w="5060"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 településen jelzőrendszeres segítségnyújtást működtetünk, amelynek kapacitása azonban csekély az idősek számához képest. Ennek kapacitását bővíteni szükséges az eszközállomány és a személyi állomány növelésével. </w:t>
            </w:r>
          </w:p>
        </w:tc>
      </w:tr>
      <w:tr w:rsidR="00795A46" w:rsidTr="002E140C">
        <w:tc>
          <w:tcPr>
            <w:tcW w:w="4892"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Az egyszemélyes háztartásokban élő, elmagányosodott idős nők száma kiugróan magas, a kapcsolatrendszerük, korosztályukkal való kommunikációs lehetőségük csökken vagy már hiányzik.</w:t>
            </w:r>
          </w:p>
        </w:tc>
        <w:tc>
          <w:tcPr>
            <w:tcW w:w="5060"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A településen az idősek nappali ellátása megszervezett, de ennek a növekvő igényekhez alkalmazkodó kapacitásbővítése szükséges. Az idősek érdeklődési körének megfelelő közösségi programok szervezése, a nappali ellátás helyszínére történő szállításuk megszervezése szükséges. A nappali ellátás személyi és eszközállományának az igényekhez alkalmazkodó növelése indokolt.</w:t>
            </w:r>
          </w:p>
        </w:tc>
      </w:tr>
      <w:tr w:rsidR="00795A46" w:rsidTr="002E140C">
        <w:tc>
          <w:tcPr>
            <w:tcW w:w="4892"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Kevesen veszik igénybe a nappali ellátást a szükségét szenvedő idősek közül. </w:t>
            </w:r>
          </w:p>
        </w:tc>
        <w:tc>
          <w:tcPr>
            <w:tcW w:w="5060" w:type="dxa"/>
            <w:tcBorders>
              <w:top w:val="single" w:sz="4" w:space="0" w:color="000000"/>
              <w:left w:val="single" w:sz="4" w:space="0" w:color="000000"/>
              <w:bottom w:val="single" w:sz="4" w:space="0" w:color="000000"/>
              <w:right w:val="single" w:sz="4" w:space="0" w:color="000000"/>
            </w:tcBorders>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Az idősek személyes felkeresése, számukra tájékoztatás nyújtása szükséges, a szolgáltatás előnyeit papíralapon kell összefoglalni számukra a digitális ismereteik hiánya miatt. </w:t>
            </w:r>
          </w:p>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p>
        </w:tc>
      </w:tr>
      <w:tr w:rsidR="00795A46" w:rsidTr="002E140C">
        <w:tc>
          <w:tcPr>
            <w:tcW w:w="4892"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 nappali ellátás </w:t>
            </w:r>
          </w:p>
        </w:tc>
        <w:tc>
          <w:tcPr>
            <w:tcW w:w="5060"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A város főként időseknek szóló, 2018-ban bevezetett szolgáltatása a Csorvás, Rákóczi u. 15. szám alatt található nappali ellátás. A helyi idősek által leggyakrabban használt közösségi terek közül a nappali ellátást befogadó helyiség és kiszolgáló infrastruktúra fejlesztését meg kell vizsgálni a kapacitás-kihasználtság mutatóinak emelkedése miatt, annak érdekében, hogy minél több igénybe vevőt kiszolgálhasson, és minél több számukra hasznos szolgáltatást befogadhasson.</w:t>
            </w:r>
          </w:p>
        </w:tc>
      </w:tr>
      <w:tr w:rsidR="00795A46" w:rsidTr="002E140C">
        <w:tc>
          <w:tcPr>
            <w:tcW w:w="4892"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Kevesen vannak tisztában a szociális téren igénybe vehető támogatásokkal. Többen nincsenek tisztában az özvegyi nyugdíj és a haláleseti rendelkezés fogalmával, lehetőségével.</w:t>
            </w:r>
          </w:p>
        </w:tc>
        <w:tc>
          <w:tcPr>
            <w:tcW w:w="5060"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Az időseket speciális módon kell tájékoztatnunk az igénybe vehető szociális ellátásokról: kiemelt szerepet kap a kézben fogható, papír alapú nyomtatvány és a személyes tájékoztatás. </w:t>
            </w:r>
          </w:p>
        </w:tc>
      </w:tr>
      <w:tr w:rsidR="00795A46" w:rsidTr="002E140C">
        <w:tc>
          <w:tcPr>
            <w:tcW w:w="4892"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Az idősek egészségügyi állapota általánosan rosszabb, mint a fiatalabb korosztályoké.</w:t>
            </w:r>
          </w:p>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A prevenció, valamint a szakellátások igénybevételéhez való hozzásegítésük szükséges.</w:t>
            </w:r>
          </w:p>
        </w:tc>
        <w:tc>
          <w:tcPr>
            <w:tcW w:w="5060"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Tájékoztatás nyújtása az egészségi állapotuk megőrzéséről, javításáról – a digitális hozzáférésük hiányában – papíralapon: plakátokon, nyomtatott sajtótermékekben, szórólapokon.</w:t>
            </w:r>
          </w:p>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A helyben is biztosítható, de a környező városokban megszervezett szakellátás-szolgáltatók (pl. tüdőszűrés, nőgyógyászati szűrés, ortopédia, pszichiátria) helyben történő elérésének biztosítása: ehhez a helyszín és az eszközállomány szállításának megszervezése, lebonyolítása.</w:t>
            </w:r>
          </w:p>
        </w:tc>
      </w:tr>
      <w:tr w:rsidR="00795A46" w:rsidTr="002E140C">
        <w:tc>
          <w:tcPr>
            <w:tcW w:w="4892"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A településen – bár van működési engedéllyel rendelkező piacterünk – nincs működő termelői piac. Ennek a főként az idősek által elfogadott és igényelt hagyománynak az újjáélesztésééhez szükséges a városlakók és a környékbeli termelők tájékoztatása.</w:t>
            </w:r>
          </w:p>
        </w:tc>
        <w:tc>
          <w:tcPr>
            <w:tcW w:w="5060"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Szükséges a termelői piac működésének „reklámozása” az idősek és kistermelők felé, mert egykor ők népesítették be házias termékeikkel, és szeretnénk, hogy újra az idősebb generáció gazdálkodói vehessék birtokba. </w:t>
            </w:r>
          </w:p>
        </w:tc>
      </w:tr>
      <w:tr w:rsidR="00795A46" w:rsidTr="002E140C">
        <w:tc>
          <w:tcPr>
            <w:tcW w:w="4892"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Tapasztalataink szerint az idősebb generáció nem kifejezetten érdeklődik a szelektív hulladékgyűjtés, a hulladékhasznosítás és a korszerű hulladékgazdálkodás iránt. A szemétszállítási települési támogatást igénybe vevő 70 éven felüliek a szállítási napokon leginkább ki sem teszik a házuk elé a sárga vagy zöld szelektív hulladékgyűjtő kukáikat. Többen közülük azt mondják, hogy inkább minden vegyes kommunális hulladékukat eltüzelik otthonukban, mert „megszokták”. Tüzelőberendezéseik ugyanakkor inkább elavultak, így a veszélyes szénmonoxid-terhelés, és a füst által okozott környezetterhelés is nagyobb a fűtési időszakban. </w:t>
            </w:r>
          </w:p>
        </w:tc>
        <w:tc>
          <w:tcPr>
            <w:tcW w:w="5060" w:type="dxa"/>
            <w:tcBorders>
              <w:top w:val="single" w:sz="4" w:space="0" w:color="000000"/>
              <w:left w:val="single" w:sz="4" w:space="0" w:color="000000"/>
              <w:bottom w:val="single" w:sz="4" w:space="0" w:color="000000"/>
              <w:right w:val="single" w:sz="4" w:space="0" w:color="000000"/>
            </w:tcBorders>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A település lakosságának, kiemelten az időseknek szükséges a szelektív szemétgyűjtés témájában tájékoztatást nyújtani kézbe fogható módon: kitűzhető szórólapokon, plakátokon, újságban.</w:t>
            </w:r>
          </w:p>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 kéményseprés ingyenes és ajánlott közszolgáltatásnak népszerűsítését és a környezetterhelés csökkentéséről szóló ajánlást is meg kell oldanunk az idősek számára készített kiadványokon. </w:t>
            </w:r>
          </w:p>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p>
        </w:tc>
      </w:tr>
      <w:tr w:rsidR="00795A46" w:rsidTr="002E140C">
        <w:tc>
          <w:tcPr>
            <w:tcW w:w="4892"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 település idősebb korosztálya fogékony inkább a hagyományokra, a helytörténetre, a muzeális értékek gyűjtésére és bemutatására. Így jött létre az a helytörténeti gyűjtemény, amelynek látogatói között is nagyobb számban találjuk az időseket. Azonban az ezt befogadó épület elavult infrastruktúrájú. </w:t>
            </w:r>
          </w:p>
        </w:tc>
        <w:tc>
          <w:tcPr>
            <w:tcW w:w="5060"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A Csorvás, Arany János u. 10. szám alatti Helytörténeti Gyűjtemény megóvásához az épület tetőszerkezetének felújítása, a nyílászárók korszerűsítése, az épület fizikai akadálymentesítése, a világítás és a fűtésrendszer korszerűsítése, valamint az ingatlan vagyonvédelmének kialakítása szükséges, annak érdekében, hogy újra befogadhassa a főleg idősekből álló népdalköröket, korosztályos közösségeket.</w:t>
            </w:r>
          </w:p>
        </w:tc>
      </w:tr>
      <w:tr w:rsidR="00795A46" w:rsidTr="002E140C">
        <w:tc>
          <w:tcPr>
            <w:tcW w:w="4892"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A városban az elmúlt évtizedekben már 68971 méter hosszan építettünk járdát, azonban 9894 méter hosszan még kiépítetlen, és a már régen elkészült szakaszok közül is számos helyen felújításra szoruló. A kiemelt fontosságú járdaszakaszok ellenőrzése és a közülük járdaépítésre- vagy felújításra szoruló területek akadálymentes kiépítése vagy felújítása szükséges a nagyszámú idős és mozgásában korlátozott személy általi használat okán.</w:t>
            </w:r>
          </w:p>
        </w:tc>
        <w:tc>
          <w:tcPr>
            <w:tcW w:w="5060"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A járdaszakaszok felújítása pályázati forrásból valósítható meg, és a fejlesztés eredményeképpen biztonságos közlekedési útvonalak alakulnak ki az idősek számára.</w:t>
            </w:r>
          </w:p>
        </w:tc>
      </w:tr>
      <w:tr w:rsidR="00795A46" w:rsidTr="002E140C">
        <w:tc>
          <w:tcPr>
            <w:tcW w:w="4892"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 közlekedés rendjének felülvizsgálata során megfontolásra érdemes a Rákóczi utcai és a Békéscsabai utcai közúti gyalogátkelőhelyek, valamint a Bajcsy-Zsilinszky utcai közúti gyalogos átkelési pontok közül minél többnek az ún. „okos-zebrával” való kiegészítése annak érdekében, hogy a lassabban közlekedő, nehezebben mozgó gyalogosok (többségében idősek és mozgáskorlátozottak) is biztonságban áthaladhassanak rajta. </w:t>
            </w:r>
          </w:p>
        </w:tc>
        <w:tc>
          <w:tcPr>
            <w:tcW w:w="5060"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A balesetveszélyes gyalogátkelőhelyek és gyalogos átkelési pontok biztonságossá tételének számos lehetősége közül az „okos-zebra” bizonyul a leghatékonyabbnak és a legkönnyebben fenntarthatónak. Jelentős szerepet kap a település balesetveszélyes csomópontjainak csökkentésében.</w:t>
            </w:r>
          </w:p>
        </w:tc>
      </w:tr>
      <w:tr w:rsidR="00795A46" w:rsidTr="002E140C">
        <w:tc>
          <w:tcPr>
            <w:tcW w:w="4892"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A belterületi közúthálózat-fejlesztés egyik régóta hiányzó láncszeme az Arany János utca útburkolatának kiépítése a Táncsics utcától a Hunyadi utcáig. Ez nemcsak elterelő útvonalként használandó, hanem hozzásegíti a főként ebben a városrészben élő idősebb korosztályt a közszolgáltatásokhoz való hatékonyabb, akadálymentes hozzáféréshez.</w:t>
            </w:r>
          </w:p>
        </w:tc>
        <w:tc>
          <w:tcPr>
            <w:tcW w:w="5060"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Az Arany János utcai belterületi közút útalappal és aszfalttal történő burkolása a város legforgalmasabb közlekedési útvonalait lesz képes tehermentesíteni. A forgalmas utca burkolata elvezeti a szükség esetén elterelt közúti forgalmat, hozzájárul a kerékpáros és kerekesszékes forgalom megfelelő elvezetéséhez.</w:t>
            </w:r>
          </w:p>
        </w:tc>
      </w:tr>
      <w:tr w:rsidR="00795A46" w:rsidTr="002E140C">
        <w:tc>
          <w:tcPr>
            <w:tcW w:w="4892"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 belterületi közúthálózat-fejlesztésnek ki kell terjednie a Hóvirág, a Mikszáth, az Október 6. utca belső oldala útburkolatának kialakítására, mivel ez a környék is idősek által lakott. </w:t>
            </w:r>
          </w:p>
        </w:tc>
        <w:tc>
          <w:tcPr>
            <w:tcW w:w="5060"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 felsorolt utcák útburkolata útalappal részben ellátott, hiányosan burkolt vagy burkolatlan. A környék lakóinak magas hányadát adja az idős korosztály. </w:t>
            </w:r>
          </w:p>
        </w:tc>
      </w:tr>
      <w:tr w:rsidR="00795A46" w:rsidTr="002E140C">
        <w:tc>
          <w:tcPr>
            <w:tcW w:w="4892"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Az idősek is profitálhatnak a belterület forgalmas helyein elhelyezendő térfigyelő kamera-hálózat kiépítéséből, ezzel az ő élet- és vagyonbiztonságuk is jobb helyzetbe kerül. </w:t>
            </w:r>
          </w:p>
        </w:tc>
        <w:tc>
          <w:tcPr>
            <w:tcW w:w="5060"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Az idősebb korosztály egyedül élő tagjainak mindennapjait leginkább befolyásoló tényezők egyike a biztonságérzet. Amennyiben ők a közterületen a biztonságérzetüket tekintve hiányt szenvednek, még zárkózottabbá válnak, és elmaradnak a közösségi rendezvényekről, kimaradnak a település életéből. Ennek megváltoztatására szükséges a település lakosságának, főként az időseknek a biztonságérzetét javító térfigyelő-kamerarendszer, melyet pályázati forrásból kívánunk kialakítani.  </w:t>
            </w:r>
          </w:p>
        </w:tc>
      </w:tr>
      <w:bookmarkEnd w:id="115"/>
      <w:tr w:rsidR="002E140C" w:rsidRPr="0052435B" w:rsidTr="002E140C">
        <w:tc>
          <w:tcPr>
            <w:tcW w:w="4892" w:type="dxa"/>
            <w:tcBorders>
              <w:top w:val="single" w:sz="4" w:space="0" w:color="000000"/>
              <w:left w:val="single" w:sz="4" w:space="0" w:color="000000"/>
              <w:bottom w:val="single" w:sz="4" w:space="0" w:color="000000"/>
              <w:right w:val="nil"/>
            </w:tcBorders>
          </w:tcPr>
          <w:p w:rsidR="002E140C" w:rsidRPr="002E140C" w:rsidRDefault="002E140C" w:rsidP="00CD2E2F">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70C0"/>
                <w:szCs w:val="22"/>
              </w:rPr>
            </w:pPr>
            <w:r w:rsidRPr="002E140C">
              <w:rPr>
                <w:rFonts w:ascii="Times New Roman" w:hAnsi="Times New Roman"/>
                <w:color w:val="0070C0"/>
                <w:szCs w:val="22"/>
              </w:rPr>
              <w:t>Az idősek közül sokan szociálisan rászorulók, ugyanis az otthoni élelmiszer ellátottságuk nem kielégítő, így egyre többen jogosultak a szociális étkeztetést igénybe venni, azonban a közétkeztetést ellátó korszerűtlen konyha hosszú távon nem tudja ellátni ezt a feladatot.</w:t>
            </w:r>
          </w:p>
        </w:tc>
        <w:tc>
          <w:tcPr>
            <w:tcW w:w="5060" w:type="dxa"/>
            <w:tcBorders>
              <w:top w:val="single" w:sz="4" w:space="0" w:color="000000"/>
              <w:left w:val="single" w:sz="4" w:space="0" w:color="000000"/>
              <w:bottom w:val="single" w:sz="4" w:space="0" w:color="000000"/>
              <w:right w:val="single" w:sz="4" w:space="0" w:color="000000"/>
            </w:tcBorders>
          </w:tcPr>
          <w:p w:rsidR="002E140C" w:rsidRPr="002E140C" w:rsidRDefault="002E140C" w:rsidP="00CD2E2F">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70C0"/>
                <w:szCs w:val="22"/>
              </w:rPr>
            </w:pPr>
            <w:r w:rsidRPr="002E140C">
              <w:rPr>
                <w:rFonts w:ascii="Times New Roman" w:hAnsi="Times New Roman"/>
                <w:color w:val="0070C0"/>
                <w:szCs w:val="22"/>
              </w:rPr>
              <w:t xml:space="preserve">A közétkeztetés korszerűsítése: a település napközi konyhájának felújítása, technológiai és energetikai korszerűsítése a hatékonyabb ellátás és a megnövekedett kapacitás-igények kiszolgálása érdekében. </w:t>
            </w:r>
          </w:p>
        </w:tc>
      </w:tr>
      <w:tr w:rsidR="002E140C" w:rsidRPr="0052435B" w:rsidTr="002E140C">
        <w:tc>
          <w:tcPr>
            <w:tcW w:w="4892" w:type="dxa"/>
            <w:tcBorders>
              <w:top w:val="single" w:sz="4" w:space="0" w:color="000000"/>
              <w:left w:val="single" w:sz="4" w:space="0" w:color="000000"/>
              <w:bottom w:val="single" w:sz="4" w:space="0" w:color="000000"/>
              <w:right w:val="single" w:sz="4" w:space="0" w:color="000000"/>
            </w:tcBorders>
          </w:tcPr>
          <w:p w:rsidR="002E140C" w:rsidRPr="002E140C" w:rsidRDefault="002E140C" w:rsidP="00CD2E2F">
            <w:pPr>
              <w:pStyle w:val="NormlCalibri11"/>
              <w:snapToGrid w:val="0"/>
              <w:spacing w:line="256" w:lineRule="auto"/>
              <w:rPr>
                <w:rFonts w:ascii="Times New Roman" w:hAnsi="Times New Roman"/>
                <w:color w:val="0070C0"/>
                <w:szCs w:val="22"/>
              </w:rPr>
            </w:pPr>
            <w:r w:rsidRPr="002E140C">
              <w:rPr>
                <w:rFonts w:ascii="Times New Roman" w:hAnsi="Times New Roman"/>
                <w:color w:val="0070C0"/>
                <w:szCs w:val="22"/>
              </w:rPr>
              <w:t>A településen jellemző, hogy az óvodás korú gyermekeket egyre több esetben a nagyszülők viszik az óvodába, és gyakran ők is mennek a gyerekekért, mivel a szülők dolgoznak</w:t>
            </w:r>
          </w:p>
          <w:p w:rsidR="002E140C" w:rsidRPr="002E140C" w:rsidRDefault="002E140C" w:rsidP="00CD2E2F">
            <w:pPr>
              <w:pStyle w:val="NormlCalibri11"/>
              <w:snapToGrid w:val="0"/>
              <w:spacing w:line="256" w:lineRule="auto"/>
              <w:rPr>
                <w:rFonts w:ascii="Times New Roman" w:hAnsi="Times New Roman"/>
                <w:color w:val="0070C0"/>
                <w:szCs w:val="22"/>
              </w:rPr>
            </w:pPr>
            <w:r w:rsidRPr="002E140C">
              <w:rPr>
                <w:rFonts w:ascii="Times New Roman" w:hAnsi="Times New Roman"/>
                <w:color w:val="0070C0"/>
                <w:szCs w:val="22"/>
              </w:rPr>
              <w:t>A nagyszülők általában idősek, ezért számukra aránytalan nehézséget jelentene, illetve el is lehetetlenülne, hogy az unokáikért másik településre utazzanak.</w:t>
            </w:r>
          </w:p>
        </w:tc>
        <w:tc>
          <w:tcPr>
            <w:tcW w:w="5060" w:type="dxa"/>
            <w:tcBorders>
              <w:top w:val="single" w:sz="4" w:space="0" w:color="000000"/>
              <w:left w:val="single" w:sz="4" w:space="0" w:color="000000"/>
              <w:bottom w:val="single" w:sz="4" w:space="0" w:color="000000"/>
              <w:right w:val="single" w:sz="4" w:space="0" w:color="000000"/>
            </w:tcBorders>
          </w:tcPr>
          <w:p w:rsidR="002E140C" w:rsidRPr="002E140C" w:rsidRDefault="002E140C" w:rsidP="00CD2E2F">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70C0"/>
                <w:szCs w:val="22"/>
              </w:rPr>
            </w:pPr>
            <w:r w:rsidRPr="002E140C">
              <w:rPr>
                <w:rFonts w:ascii="Times New Roman" w:hAnsi="Times New Roman"/>
                <w:color w:val="0070C0"/>
                <w:szCs w:val="22"/>
              </w:rPr>
              <w:t>Az István király utcai feladatellátási helyen új csoportszoba és többfunkciós terem kialakítása vált szükségessé.</w:t>
            </w:r>
          </w:p>
        </w:tc>
      </w:tr>
    </w:tbl>
    <w:p w:rsidR="00795A46" w:rsidRDefault="00795A46" w:rsidP="00795A46">
      <w:pPr>
        <w:suppressAutoHyphens w:val="0"/>
        <w:jc w:val="left"/>
        <w:rPr>
          <w:rFonts w:ascii="Times New Roman" w:hAnsi="Times New Roman"/>
        </w:rPr>
        <w:sectPr w:rsidR="00795A46">
          <w:pgSz w:w="11906" w:h="16838"/>
          <w:pgMar w:top="1366" w:right="1134" w:bottom="1366" w:left="1134" w:header="1134" w:footer="851" w:gutter="0"/>
          <w:cols w:space="708"/>
        </w:sectPr>
      </w:pPr>
    </w:p>
    <w:p w:rsidR="00795A46" w:rsidRDefault="00795A46" w:rsidP="00795A46">
      <w:pPr>
        <w:pStyle w:val="Cmsor3"/>
        <w:rPr>
          <w:rFonts w:ascii="Times New Roman" w:hAnsi="Times New Roman"/>
          <w:szCs w:val="24"/>
        </w:rPr>
      </w:pPr>
      <w:bookmarkStart w:id="116" w:name="__RefHeading__239_1906745769"/>
      <w:bookmarkStart w:id="117" w:name="_Toc49500652"/>
      <w:bookmarkStart w:id="118" w:name="_Toc119566841"/>
      <w:bookmarkEnd w:id="116"/>
      <w:r>
        <w:rPr>
          <w:rFonts w:ascii="Times New Roman" w:hAnsi="Times New Roman"/>
          <w:szCs w:val="24"/>
        </w:rPr>
        <w:t>7. A fogyatékkal élők helyzete, esélyegyenlősége</w:t>
      </w:r>
      <w:bookmarkEnd w:id="117"/>
      <w:bookmarkEnd w:id="118"/>
    </w:p>
    <w:p w:rsidR="00795A46" w:rsidRDefault="00795A46" w:rsidP="00795A46">
      <w:pPr>
        <w:spacing w:before="300" w:after="300"/>
        <w:ind w:right="150"/>
        <w:rPr>
          <w:rFonts w:ascii="Times New Roman" w:hAnsi="Times New Roman"/>
          <w:sz w:val="24"/>
        </w:rPr>
      </w:pPr>
      <w:r>
        <w:rPr>
          <w:rFonts w:ascii="Times New Roman" w:hAnsi="Times New Roman"/>
          <w:b/>
          <w:bCs/>
          <w:sz w:val="24"/>
        </w:rPr>
        <w:t>Fogyatékossággal élő személy:</w:t>
      </w:r>
      <w:r>
        <w:rPr>
          <w:rFonts w:ascii="Times New Roman" w:hAnsi="Times New Roman"/>
          <w:sz w:val="24"/>
        </w:rPr>
        <w:t xml:space="preserve"> az, aki érzékszervi - így különösen látás-, hallásszervi, mozgásszervi, értelmi - képességeit egyáltalán nem vagy csak csekély mértékben birtokolja, illetőleg a kommunikációjában számottevően korlátozott, és ez számára tartós hátrányt jelent a társadalmi életben való aktív részvétel során. F</w:t>
      </w:r>
      <w:r>
        <w:rPr>
          <w:rFonts w:ascii="Times New Roman" w:hAnsi="Times New Roman"/>
          <w:bCs/>
          <w:sz w:val="24"/>
        </w:rPr>
        <w:t>ogyatékos személynek számít minden olyan személy, aki hosszan tartó fizikai, értelmi, mentális vagy érzékszervi károsodással él, amely számos egyéb akadállyal együtt korlátozhatja az adott személy teljes, hatékony és másokkal egyenlő társadalmi szerepvállalását.</w:t>
      </w:r>
    </w:p>
    <w:p w:rsidR="00795A46" w:rsidRDefault="00795A46" w:rsidP="00795A46">
      <w:pPr>
        <w:spacing w:before="300" w:after="300"/>
        <w:ind w:right="150"/>
        <w:rPr>
          <w:rFonts w:ascii="Times New Roman" w:hAnsi="Times New Roman"/>
          <w:bCs/>
          <w:sz w:val="24"/>
        </w:rPr>
      </w:pPr>
      <w:r>
        <w:rPr>
          <w:rFonts w:ascii="Times New Roman" w:hAnsi="Times New Roman"/>
          <w:bCs/>
          <w:sz w:val="24"/>
        </w:rPr>
        <w:t>A településen élő fogyatékos személyek számának megállapítása igen nehéz, nincs megfelelő és egységes nyilvántartás a birtokunkban. Mindössze helyi adatgyűjtésekre és tapasztalatokra, megközelítő számokra tudunk támaszkodni. E téma teljeskörű feltérképezése folyamatban van.</w:t>
      </w:r>
    </w:p>
    <w:p w:rsidR="00795A46" w:rsidRDefault="00795A46" w:rsidP="00795A46">
      <w:pPr>
        <w:ind w:right="147"/>
        <w:rPr>
          <w:rFonts w:ascii="Times New Roman" w:hAnsi="Times New Roman"/>
          <w:bCs/>
          <w:sz w:val="24"/>
        </w:rPr>
      </w:pPr>
      <w:r>
        <w:rPr>
          <w:rFonts w:ascii="Times New Roman" w:hAnsi="Times New Roman"/>
          <w:bCs/>
          <w:sz w:val="24"/>
        </w:rPr>
        <w:t>Ismereteink szerint Csorváson körülbelül 15 olyan család él, akik fogyatékkal élő fiatalt, gyermeket nevelnek, de szociális körülményeikről, lakhatási helyzetükről, ellátásban és fejlesztésben részesülésükről csak felszínes képünk van. Csorvás idősellátásában és a fogyatékkal élők ellátásában az egyik legnagyobb szerepet betöltő intézmény a Csorvás Város Önkormányzatának fenntartásában működő Egyesített Szociális Intézmény, amelynek széleskörű tevékenységére az idősekről szóló fejezetben kitértünk, azt itt nem részletezzük.</w:t>
      </w:r>
    </w:p>
    <w:p w:rsidR="00795A46" w:rsidRDefault="00795A46" w:rsidP="00795A46">
      <w:pPr>
        <w:ind w:right="147"/>
        <w:rPr>
          <w:rFonts w:ascii="Times New Roman" w:hAnsi="Times New Roman"/>
          <w:bCs/>
          <w:sz w:val="24"/>
        </w:rPr>
      </w:pPr>
      <w:r>
        <w:rPr>
          <w:rFonts w:ascii="Times New Roman" w:hAnsi="Times New Roman"/>
          <w:color w:val="000000"/>
          <w:sz w:val="24"/>
        </w:rPr>
        <w:t>A szociális intézmény mellett k</w:t>
      </w:r>
      <w:r>
        <w:rPr>
          <w:rFonts w:ascii="Times New Roman" w:hAnsi="Times New Roman"/>
          <w:bCs/>
          <w:sz w:val="24"/>
        </w:rPr>
        <w:t>ét civil szervezet is foglalkozik a segítséggel élő, segítséget igénylő emberekkel:</w:t>
      </w:r>
    </w:p>
    <w:p w:rsidR="00795A46" w:rsidRDefault="00795A46" w:rsidP="00795A46">
      <w:pPr>
        <w:ind w:right="147"/>
        <w:rPr>
          <w:rFonts w:ascii="Times New Roman" w:hAnsi="Times New Roman"/>
          <w:bCs/>
          <w:sz w:val="24"/>
        </w:rPr>
      </w:pPr>
    </w:p>
    <w:p w:rsidR="00795A46" w:rsidRDefault="00795A46" w:rsidP="00795A46">
      <w:pPr>
        <w:ind w:left="448" w:right="147" w:hanging="164"/>
        <w:rPr>
          <w:rFonts w:ascii="Times New Roman" w:hAnsi="Times New Roman"/>
          <w:bCs/>
          <w:sz w:val="24"/>
        </w:rPr>
      </w:pPr>
      <w:r>
        <w:rPr>
          <w:rFonts w:ascii="Times New Roman" w:hAnsi="Times New Roman"/>
          <w:bCs/>
          <w:sz w:val="24"/>
        </w:rPr>
        <w:t>● Csillag Szociális Szolgáltató Központ, Lakóotthon és Integrált Támogató Szolgálatok (a Mozgáskorlátozottak Békés Megyei Egyesülete fenntartásában működik), Csorvás</w:t>
      </w:r>
    </w:p>
    <w:p w:rsidR="00795A46" w:rsidRDefault="00795A46" w:rsidP="00795A46">
      <w:pPr>
        <w:ind w:left="284" w:right="147"/>
        <w:rPr>
          <w:rFonts w:ascii="Times New Roman" w:hAnsi="Times New Roman"/>
          <w:bCs/>
          <w:sz w:val="24"/>
        </w:rPr>
      </w:pPr>
      <w:r>
        <w:rPr>
          <w:rFonts w:ascii="Times New Roman" w:hAnsi="Times New Roman"/>
          <w:bCs/>
          <w:sz w:val="24"/>
        </w:rPr>
        <w:t>● Békéscsabai Humán Szolgáltató Központ (a Magyar Pünkösdi Egyház fenntartásában működik), Csorvás</w:t>
      </w:r>
    </w:p>
    <w:p w:rsidR="00795A46" w:rsidRDefault="00795A46" w:rsidP="00795A46">
      <w:pPr>
        <w:ind w:right="147"/>
        <w:rPr>
          <w:rFonts w:ascii="Times New Roman" w:hAnsi="Times New Roman"/>
          <w:b/>
          <w:bCs/>
          <w:i/>
          <w:sz w:val="24"/>
        </w:rPr>
      </w:pPr>
    </w:p>
    <w:p w:rsidR="00795A46" w:rsidRDefault="00795A46" w:rsidP="00795A46">
      <w:pPr>
        <w:ind w:right="147"/>
        <w:rPr>
          <w:rFonts w:ascii="Times New Roman" w:hAnsi="Times New Roman"/>
          <w:b/>
          <w:bCs/>
          <w:i/>
          <w:sz w:val="24"/>
          <w:shd w:val="clear" w:color="auto" w:fill="C0C0C0"/>
        </w:rPr>
      </w:pPr>
      <w:r>
        <w:rPr>
          <w:rFonts w:ascii="Times New Roman" w:hAnsi="Times New Roman"/>
          <w:b/>
          <w:bCs/>
          <w:i/>
          <w:sz w:val="24"/>
          <w:shd w:val="clear" w:color="auto" w:fill="C0C0C0"/>
        </w:rPr>
        <w:t>Mozgáskorlátozottak Békés Megyei Egyesülete – Csillagház Szociális Szolgáltató Központ, Lakóotthon és Integrált Támogató Szolgáltatás, Csorvás</w:t>
      </w:r>
    </w:p>
    <w:p w:rsidR="00795A46" w:rsidRDefault="00795A46" w:rsidP="00795A46">
      <w:pPr>
        <w:ind w:right="147"/>
        <w:rPr>
          <w:rFonts w:ascii="Times New Roman" w:hAnsi="Times New Roman"/>
          <w:b/>
          <w:bCs/>
          <w:i/>
          <w:sz w:val="24"/>
          <w:shd w:val="clear" w:color="auto" w:fill="C0C0C0"/>
        </w:rPr>
      </w:pP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2005 áprilisában kezdte meg munkáját Csorváson a Csillag Szociális Szolgáltató Központ Lakóotthon és Integrált Támogató Szolgáltatás a Széchenyi u. 24. szám alatti ingatlanban.</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 xml:space="preserve">A támogató szolgáltatás a békéscsabai Önálló Életvitel Központ mintájára, és azokat az elveket követve végzi hasznos tevékenységét az orosházi kistérségben. </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Ez a rehabilitációs célú intézmény tartós elhelyezést, illetve segítséget biztosít a fogyatékos felnőttek számára az önálló életvezetési képességeik kialakításában, továbbá a társadalomba való beilleszkedés támogatásában és az utógondozás megszervezésében.</w:t>
      </w:r>
    </w:p>
    <w:p w:rsidR="00795A46" w:rsidRDefault="00795A46" w:rsidP="00795A46">
      <w:pPr>
        <w:rPr>
          <w:rFonts w:ascii="Times New Roman" w:hAnsi="Times New Roman"/>
          <w:bCs/>
          <w:sz w:val="24"/>
        </w:rPr>
      </w:pPr>
      <w:r>
        <w:rPr>
          <w:rFonts w:ascii="Times New Roman" w:hAnsi="Times New Roman"/>
          <w:bCs/>
          <w:i/>
          <w:sz w:val="24"/>
        </w:rPr>
        <w:t>Az ellátott emberek köre:</w:t>
      </w:r>
      <w:r>
        <w:rPr>
          <w:rFonts w:ascii="Times New Roman" w:hAnsi="Times New Roman"/>
          <w:bCs/>
          <w:sz w:val="24"/>
        </w:rPr>
        <w:t xml:space="preserve"> a csorvási Csillagház Lakóotthon 8-14 fő 18 év feletti és az öregségi nyugdíj korhatárt el nem érő, aktív korú, ép értelmű mozgássérült fiatalok ellátását célozta meg, akik legalább részben képesek az önellátásra, folyamatos és tartós ápolást, felügyeletet nem igényelnek, és a Lakóotthon szolgáltatásainak segítségével önálló életvitelre képesek.</w:t>
      </w:r>
    </w:p>
    <w:p w:rsidR="00795A46" w:rsidRDefault="00795A46" w:rsidP="00795A46">
      <w:pPr>
        <w:rPr>
          <w:rFonts w:ascii="Times New Roman" w:hAnsi="Times New Roman"/>
          <w:bCs/>
          <w:sz w:val="24"/>
        </w:rPr>
      </w:pPr>
      <w:r>
        <w:rPr>
          <w:rFonts w:ascii="Times New Roman" w:hAnsi="Times New Roman"/>
          <w:bCs/>
          <w:i/>
          <w:sz w:val="24"/>
        </w:rPr>
        <w:t>Az ellátási terület:</w:t>
      </w:r>
      <w:r>
        <w:rPr>
          <w:rFonts w:ascii="Times New Roman" w:hAnsi="Times New Roman"/>
          <w:bCs/>
          <w:sz w:val="24"/>
        </w:rPr>
        <w:t xml:space="preserve"> </w:t>
      </w:r>
      <w:r>
        <w:rPr>
          <w:rFonts w:ascii="Times New Roman" w:hAnsi="Times New Roman"/>
          <w:sz w:val="24"/>
          <w:lang w:eastAsia="hu-HU"/>
        </w:rPr>
        <w:t>a lakóotthon az egész ország területéről fogadja a jelentkezőket</w:t>
      </w:r>
      <w:r>
        <w:rPr>
          <w:rFonts w:ascii="Times New Roman" w:hAnsi="Times New Roman"/>
          <w:bCs/>
          <w:sz w:val="24"/>
        </w:rPr>
        <w:t>, de elsődlegesen Csorvás – Orosházi kistérségből.</w:t>
      </w:r>
    </w:p>
    <w:p w:rsidR="00795A46" w:rsidRDefault="00795A46" w:rsidP="00795A46">
      <w:pPr>
        <w:rPr>
          <w:rFonts w:ascii="Times New Roman" w:hAnsi="Times New Roman"/>
          <w:bCs/>
          <w:sz w:val="24"/>
        </w:rPr>
      </w:pPr>
      <w:r>
        <w:rPr>
          <w:rFonts w:ascii="Times New Roman" w:hAnsi="Times New Roman"/>
          <w:bCs/>
          <w:sz w:val="24"/>
        </w:rPr>
        <w:t>A lakóotthonban igényelhető szolgáltatások az étkezés, a munka jellegű foglalkoztatás megszervezése, a pénzkezeléssel kapcsolatos segítségnyújtás, az egészségügyi és mentálhigiénés alapszolgáltatás (tanácsadás, életvitel javítását segítő programok), egyes szabadidős programok szervezése (kirándulás, rendezvények), bizonyos sportszerek használatának biztosítása, a lakók szükségletei szerinti szolgáltatások elérhetőségének megkönnyítésében segítés, a támogató szolgálat igénybevételének lehetősége.</w:t>
      </w:r>
    </w:p>
    <w:p w:rsidR="00795A46" w:rsidRDefault="00795A46" w:rsidP="00795A46">
      <w:pPr>
        <w:rPr>
          <w:rFonts w:ascii="Times New Roman" w:hAnsi="Times New Roman"/>
          <w:bCs/>
          <w:sz w:val="24"/>
        </w:rPr>
      </w:pPr>
      <w:r>
        <w:rPr>
          <w:rFonts w:ascii="Times New Roman" w:hAnsi="Times New Roman"/>
          <w:bCs/>
          <w:sz w:val="24"/>
        </w:rPr>
        <w:t>A lakóotthon teljes körűen akadálymentesített, az elhelyezés fürdőszobával és főzőkonyhával felszerelt apartmanokban történik. Az intézményben az ellátás időtartama nem haladhatja meg a három évet. A három éves időtartam egy alkalommal, legfeljebb két évvel meghosszabbítható, amennyiben a lakó önálló életvitelének kialakítása további segítséget igényel. A lakóotthoni ellátásért térítési díjat szükséges fizetni, mely a lakó havi jövedelmének 50%-a.</w:t>
      </w:r>
    </w:p>
    <w:p w:rsidR="00795A46" w:rsidRDefault="00795A46" w:rsidP="00795A46">
      <w:pPr>
        <w:rPr>
          <w:rFonts w:ascii="Times New Roman" w:hAnsi="Times New Roman"/>
          <w:bCs/>
          <w:sz w:val="24"/>
        </w:rPr>
      </w:pPr>
    </w:p>
    <w:p w:rsidR="00795A46" w:rsidRDefault="00795A46" w:rsidP="00795A46">
      <w:pPr>
        <w:rPr>
          <w:rFonts w:ascii="Times New Roman" w:hAnsi="Times New Roman"/>
          <w:bCs/>
          <w:sz w:val="24"/>
        </w:rPr>
      </w:pPr>
      <w:r>
        <w:rPr>
          <w:rFonts w:ascii="Times New Roman" w:hAnsi="Times New Roman"/>
          <w:bCs/>
          <w:i/>
          <w:sz w:val="24"/>
        </w:rPr>
        <w:t>Integrált Támogató Szolgáltatások:</w:t>
      </w:r>
      <w:r>
        <w:rPr>
          <w:rFonts w:ascii="Times New Roman" w:hAnsi="Times New Roman"/>
          <w:bCs/>
          <w:sz w:val="24"/>
        </w:rPr>
        <w:t xml:space="preserve"> A támogató szolgáltatások célja a fogyatékos személyek lakókörnyezetben történő ellátása, elsősorban a lakáson kívüli közszolgáltatások elérésének segítése, valamint életvitelük önállóságának megőrzése mellett a lakáson belüli speciális segítségnyújtás biztosítása révén. Szolgáltatások:</w:t>
      </w:r>
    </w:p>
    <w:p w:rsidR="00795A46" w:rsidRDefault="00795A46" w:rsidP="00795A46">
      <w:pPr>
        <w:rPr>
          <w:rFonts w:ascii="Times New Roman" w:hAnsi="Times New Roman"/>
          <w:bCs/>
          <w:sz w:val="24"/>
        </w:rPr>
      </w:pPr>
      <w:r>
        <w:rPr>
          <w:rFonts w:ascii="Times New Roman" w:hAnsi="Times New Roman"/>
          <w:bCs/>
          <w:sz w:val="24"/>
        </w:rPr>
        <w:tab/>
        <w:t>- szociális gondozási feladatok</w:t>
      </w:r>
    </w:p>
    <w:p w:rsidR="00795A46" w:rsidRDefault="00795A46" w:rsidP="00795A46">
      <w:pPr>
        <w:rPr>
          <w:rFonts w:ascii="Times New Roman" w:hAnsi="Times New Roman"/>
          <w:bCs/>
          <w:sz w:val="24"/>
        </w:rPr>
      </w:pPr>
      <w:r>
        <w:rPr>
          <w:rFonts w:ascii="Times New Roman" w:hAnsi="Times New Roman"/>
          <w:bCs/>
          <w:sz w:val="24"/>
        </w:rPr>
        <w:tab/>
        <w:t>- személyi segítés</w:t>
      </w:r>
    </w:p>
    <w:p w:rsidR="00795A46" w:rsidRDefault="00795A46" w:rsidP="00795A46">
      <w:pPr>
        <w:rPr>
          <w:rFonts w:ascii="Times New Roman" w:hAnsi="Times New Roman"/>
          <w:bCs/>
          <w:sz w:val="24"/>
        </w:rPr>
      </w:pPr>
      <w:r>
        <w:rPr>
          <w:rFonts w:ascii="Times New Roman" w:hAnsi="Times New Roman"/>
          <w:bCs/>
          <w:sz w:val="24"/>
        </w:rPr>
        <w:tab/>
        <w:t>- szállítószolgálat</w:t>
      </w:r>
    </w:p>
    <w:p w:rsidR="00795A46" w:rsidRDefault="00795A46" w:rsidP="00795A46">
      <w:pPr>
        <w:rPr>
          <w:rFonts w:ascii="Times New Roman" w:hAnsi="Times New Roman"/>
          <w:bCs/>
          <w:sz w:val="24"/>
        </w:rPr>
      </w:pPr>
      <w:r>
        <w:rPr>
          <w:rFonts w:ascii="Times New Roman" w:hAnsi="Times New Roman"/>
          <w:bCs/>
          <w:sz w:val="24"/>
        </w:rPr>
        <w:t>A Lakóotthon szakmai programjának lényege, hogy a megszokott gondozási formából egyénre szabott program keretén belül először a gondoskodás szintjéig eljutni közösen, majd az utolsó lépcső a segítségnyújtás szintje. Az utolsó lépcsőben az önálló életvitelhez elengedhetetlenül szükséges segítség megadása a cél, és az egyén önrendelkezésének a megvalósítása. Az önálló (önrendelkező) élet filozófiája kimondja, hogy önálló életet élni elvileg bárki tud, fizikai korlátaitól függetlenül. Aki képes önálló döntéseket hozni a mindennapok feladatainak megoldására, meg tudja szervezni élete színtereit, s ezekért a döntésekért felelősséget is vállal, az felkészült az önálló élet megvalósítására. Ehhez kínál a Csillagház Lakóotthon egy olyan lehetőséget, amelyben a lakóotthon gondoskodásától elszakadva, megfelelő egyénre szabott (kor, nem, sérülés foka) szakmai program, segítség mellett készülhetnek fel későbbi önálló életvitelükre, megtanulva, hogy döntéseik milyen felelősséggel járnak.</w:t>
      </w:r>
    </w:p>
    <w:p w:rsidR="00795A46" w:rsidRDefault="00795A46" w:rsidP="00795A46">
      <w:pPr>
        <w:rPr>
          <w:rFonts w:ascii="Times New Roman" w:hAnsi="Times New Roman"/>
          <w:bCs/>
          <w:sz w:val="24"/>
        </w:rPr>
      </w:pPr>
      <w:r>
        <w:rPr>
          <w:rFonts w:ascii="Times New Roman" w:hAnsi="Times New Roman"/>
          <w:bCs/>
          <w:sz w:val="24"/>
        </w:rPr>
        <w:t>Jelenleg 4 lakója van a Csillagháznak, s a tapasztalatok szerint nehéz megtalálniuk a potenciális ügyfeleket, lakókat.</w:t>
      </w:r>
    </w:p>
    <w:p w:rsidR="00795A46" w:rsidRDefault="00795A46" w:rsidP="00795A46">
      <w:pPr>
        <w:suppressAutoHyphens w:val="0"/>
        <w:rPr>
          <w:rFonts w:ascii="Times New Roman" w:hAnsi="Times New Roman"/>
          <w:color w:val="7030A0"/>
          <w:sz w:val="24"/>
          <w:lang w:eastAsia="hu-HU"/>
        </w:rPr>
      </w:pPr>
    </w:p>
    <w:p w:rsidR="00795A46" w:rsidRDefault="00795A46" w:rsidP="00795A46">
      <w:pPr>
        <w:rPr>
          <w:rFonts w:ascii="Times New Roman" w:hAnsi="Times New Roman"/>
          <w:lang w:eastAsia="hu-HU"/>
        </w:rPr>
      </w:pPr>
    </w:p>
    <w:p w:rsidR="00795A46" w:rsidRDefault="00795A46" w:rsidP="00795A46">
      <w:pPr>
        <w:rPr>
          <w:rFonts w:ascii="Times New Roman" w:hAnsi="Times New Roman"/>
          <w:b/>
          <w:bCs/>
          <w:i/>
          <w:sz w:val="24"/>
          <w:shd w:val="clear" w:color="auto" w:fill="C0C0C0"/>
        </w:rPr>
      </w:pPr>
      <w:r>
        <w:rPr>
          <w:rFonts w:ascii="Times New Roman" w:hAnsi="Times New Roman"/>
          <w:b/>
          <w:bCs/>
          <w:i/>
          <w:sz w:val="24"/>
          <w:shd w:val="clear" w:color="auto" w:fill="C0C0C0"/>
        </w:rPr>
        <w:t>Mozgáskorlátozottak Békés Megyei Egyesülete – Önálló Életvitel Központ és Támogató Szolgálat</w:t>
      </w:r>
    </w:p>
    <w:p w:rsidR="00795A46" w:rsidRDefault="00795A46" w:rsidP="00795A46">
      <w:pPr>
        <w:rPr>
          <w:rFonts w:ascii="Times New Roman" w:hAnsi="Times New Roman"/>
          <w:bCs/>
          <w:sz w:val="24"/>
          <w:shd w:val="clear" w:color="auto" w:fill="C0C0C0"/>
        </w:rPr>
      </w:pPr>
      <w:r>
        <w:rPr>
          <w:rFonts w:ascii="Times New Roman" w:hAnsi="Times New Roman"/>
          <w:bCs/>
          <w:sz w:val="24"/>
          <w:shd w:val="clear" w:color="auto" w:fill="C0C0C0"/>
        </w:rPr>
        <w:t xml:space="preserve"> </w:t>
      </w:r>
    </w:p>
    <w:p w:rsidR="00795A46" w:rsidRDefault="00795A46" w:rsidP="00795A46">
      <w:pPr>
        <w:suppressAutoHyphens w:val="0"/>
        <w:rPr>
          <w:rFonts w:ascii="Times New Roman" w:hAnsi="Times New Roman"/>
          <w:sz w:val="24"/>
          <w:lang w:eastAsia="hu-HU"/>
        </w:rPr>
      </w:pPr>
      <w:r>
        <w:rPr>
          <w:rFonts w:ascii="Times New Roman" w:hAnsi="Times New Roman"/>
          <w:b/>
          <w:bCs/>
          <w:sz w:val="24"/>
          <w:lang w:eastAsia="hu-HU"/>
        </w:rPr>
        <w:t>Ellátási terület:</w:t>
      </w:r>
      <w:r>
        <w:rPr>
          <w:rFonts w:ascii="Times New Roman" w:hAnsi="Times New Roman"/>
          <w:sz w:val="24"/>
          <w:lang w:eastAsia="hu-HU"/>
        </w:rPr>
        <w:t xml:space="preserve"> a Békéscsabai járás területe</w:t>
      </w:r>
    </w:p>
    <w:p w:rsidR="00795A46" w:rsidRDefault="00795A46" w:rsidP="00795A46">
      <w:pPr>
        <w:suppressAutoHyphens w:val="0"/>
        <w:rPr>
          <w:rFonts w:ascii="Times New Roman" w:hAnsi="Times New Roman"/>
          <w:sz w:val="24"/>
          <w:lang w:eastAsia="hu-HU"/>
        </w:rPr>
      </w:pPr>
      <w:r>
        <w:rPr>
          <w:rFonts w:ascii="Times New Roman" w:hAnsi="Times New Roman"/>
          <w:b/>
          <w:bCs/>
          <w:sz w:val="24"/>
          <w:lang w:eastAsia="hu-HU"/>
        </w:rPr>
        <w:t>Célcsoport:</w:t>
      </w:r>
      <w:r>
        <w:rPr>
          <w:rFonts w:ascii="Times New Roman" w:hAnsi="Times New Roman"/>
          <w:sz w:val="24"/>
          <w:lang w:eastAsia="hu-HU"/>
        </w:rPr>
        <w:t xml:space="preserve"> Egyedül vagy családban élő, önmaga ellátására részben, vagy egyáltalán nem képes, súlyosan fogyatékos gyermekek, fiatalok, felnőttek.</w:t>
      </w:r>
    </w:p>
    <w:p w:rsidR="00795A46" w:rsidRDefault="00795A46" w:rsidP="00795A46">
      <w:pPr>
        <w:suppressAutoHyphens w:val="0"/>
        <w:rPr>
          <w:rFonts w:ascii="Times New Roman" w:hAnsi="Times New Roman"/>
          <w:sz w:val="24"/>
          <w:lang w:eastAsia="hu-HU"/>
        </w:rPr>
      </w:pPr>
      <w:r>
        <w:rPr>
          <w:rFonts w:ascii="Times New Roman" w:hAnsi="Times New Roman"/>
          <w:b/>
          <w:bCs/>
          <w:sz w:val="24"/>
          <w:lang w:eastAsia="hu-HU"/>
        </w:rPr>
        <w:t>Célja</w:t>
      </w:r>
      <w:r>
        <w:rPr>
          <w:rFonts w:ascii="Times New Roman" w:hAnsi="Times New Roman"/>
          <w:sz w:val="24"/>
          <w:lang w:eastAsia="hu-HU"/>
        </w:rPr>
        <w:t>: egy a lakókörnyezetben való maradást és a társadalomba való beilleszkedést elősegítő szociális szolgáltatási szerkezet jöjjön létre a fogyatékos személyek számára, és az önrendelkezésen alapuló, önálló életvitel megkönnyítése, elsődlegesen a lakáson kívüli közszolgáltatások elérésének segítésével, valamint önállóságuk megőrzése mellett a lakáson belüli speciális segítségnyújtás biztosítása.</w:t>
      </w:r>
    </w:p>
    <w:p w:rsidR="00795A46" w:rsidRDefault="00795A46" w:rsidP="00795A46">
      <w:pPr>
        <w:suppressAutoHyphens w:val="0"/>
        <w:outlineLvl w:val="3"/>
        <w:rPr>
          <w:rFonts w:ascii="Times New Roman" w:hAnsi="Times New Roman"/>
          <w:b/>
          <w:bCs/>
          <w:sz w:val="24"/>
          <w:lang w:eastAsia="hu-HU"/>
        </w:rPr>
      </w:pPr>
      <w:r>
        <w:rPr>
          <w:rFonts w:ascii="Times New Roman" w:hAnsi="Times New Roman"/>
          <w:b/>
          <w:bCs/>
          <w:sz w:val="24"/>
          <w:lang w:eastAsia="hu-HU"/>
        </w:rPr>
        <w:t xml:space="preserve">Szolgáltatások: </w:t>
      </w:r>
    </w:p>
    <w:p w:rsidR="00795A46" w:rsidRDefault="00795A46" w:rsidP="00795A46">
      <w:pPr>
        <w:numPr>
          <w:ilvl w:val="0"/>
          <w:numId w:val="25"/>
        </w:numPr>
        <w:suppressAutoHyphens w:val="0"/>
        <w:ind w:left="0" w:firstLine="0"/>
        <w:rPr>
          <w:rFonts w:ascii="Times New Roman" w:hAnsi="Times New Roman"/>
          <w:sz w:val="24"/>
          <w:lang w:eastAsia="hu-HU"/>
        </w:rPr>
      </w:pPr>
      <w:r>
        <w:rPr>
          <w:rFonts w:ascii="Times New Roman" w:hAnsi="Times New Roman"/>
          <w:b/>
          <w:bCs/>
          <w:sz w:val="24"/>
          <w:lang w:eastAsia="hu-HU"/>
        </w:rPr>
        <w:t>Személyi segítés:</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A személyi segítő szolgáltatást az igénybe vevők legmagasabb fokú önálló életvitelének megtartása mellett biztosítják, hiszen a tevékenységek végzésében a fogyatékossággal élő személy is aktívan részt vesz. Az ellátottak számára elsősorban a háztartási munkák végzésében pl.: főzés, mosogatás, takarítás nyújtanak segítséget. A gondozási feladatok elvégzése képezi a segítségnyújtás másik nagy csoportját pl.: étkezés segítése, fürdés segítése, segédeszköz használatának betanítása.</w:t>
      </w:r>
    </w:p>
    <w:p w:rsidR="00795A46" w:rsidRDefault="00795A46" w:rsidP="00795A46">
      <w:pPr>
        <w:keepNext/>
        <w:numPr>
          <w:ilvl w:val="0"/>
          <w:numId w:val="25"/>
        </w:numPr>
        <w:suppressAutoHyphens w:val="0"/>
        <w:ind w:left="714" w:hanging="357"/>
        <w:rPr>
          <w:rFonts w:ascii="Times New Roman" w:hAnsi="Times New Roman"/>
          <w:sz w:val="24"/>
          <w:lang w:eastAsia="hu-HU"/>
        </w:rPr>
      </w:pPr>
      <w:r>
        <w:rPr>
          <w:rFonts w:ascii="Times New Roman" w:hAnsi="Times New Roman"/>
          <w:b/>
          <w:bCs/>
          <w:sz w:val="24"/>
          <w:lang w:eastAsia="hu-HU"/>
        </w:rPr>
        <w:t>Szállító szolgálat:</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A szolgáltatást 2 db Opel Vivaro elektromos beemelő szerkezettel felszerelt gépkocsival és 1 db Fiat Doblo mobil rámpával felszerelt gépkocsival végzik. A szállító szolgáltatást igénybe véve jutnak el ellátottaik korai fejlesztésre, fejlesztő iskolába, fogyatékosok nappali intézményébe, munkahelyre, és onnan haza, egészségügyi intézménybe, sport-és kulturális rendezvényekre, szabadidős programokra.</w:t>
      </w:r>
    </w:p>
    <w:p w:rsidR="00795A46" w:rsidRDefault="00795A46" w:rsidP="00795A46">
      <w:pPr>
        <w:numPr>
          <w:ilvl w:val="0"/>
          <w:numId w:val="25"/>
        </w:numPr>
        <w:suppressAutoHyphens w:val="0"/>
        <w:rPr>
          <w:rFonts w:ascii="Times New Roman" w:hAnsi="Times New Roman"/>
          <w:sz w:val="24"/>
          <w:lang w:eastAsia="hu-HU"/>
        </w:rPr>
      </w:pPr>
      <w:r>
        <w:rPr>
          <w:rFonts w:ascii="Times New Roman" w:hAnsi="Times New Roman"/>
          <w:b/>
          <w:bCs/>
          <w:sz w:val="24"/>
          <w:lang w:eastAsia="hu-HU"/>
        </w:rPr>
        <w:t>Szállító szolgáltatáshoz kapcsolódó személyi segítés:</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Halmozottan sérült, valamint autista ellátottaik számára személyi segítőt biztosítanak az utazás során, amennyiben az ellátott szállítása – pszichiáter vagy neurológus szakorvos által igazoltan – csak állandó felügyelet mellett biztosítható.</w:t>
      </w:r>
    </w:p>
    <w:p w:rsidR="00795A46" w:rsidRDefault="00795A46" w:rsidP="00795A46">
      <w:pPr>
        <w:numPr>
          <w:ilvl w:val="0"/>
          <w:numId w:val="25"/>
        </w:numPr>
        <w:suppressAutoHyphens w:val="0"/>
        <w:rPr>
          <w:rFonts w:ascii="Times New Roman" w:hAnsi="Times New Roman"/>
          <w:sz w:val="24"/>
          <w:lang w:eastAsia="hu-HU"/>
        </w:rPr>
      </w:pPr>
      <w:r>
        <w:rPr>
          <w:rFonts w:ascii="Times New Roman" w:hAnsi="Times New Roman"/>
          <w:b/>
          <w:bCs/>
          <w:sz w:val="24"/>
          <w:lang w:eastAsia="hu-HU"/>
        </w:rPr>
        <w:t>Információnyújtás, tanácsadás:</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Információnyújtás a fogyatékossággal élő embereket érintő jogszabályokról, jogszabályváltozásokról, az általuk igénybe vehető kedvezményekről, különböző sport-, szabadidős-, kulturális programokról, ügyintézés segítése, bevásárlás, tanácsadás, a tanácsadást követően a társadalmi beilleszkedést segítő szolgáltatásokhoz való hozzájutás biztosítása.</w:t>
      </w:r>
    </w:p>
    <w:p w:rsidR="00795A46" w:rsidRDefault="00795A46" w:rsidP="00795A46">
      <w:pPr>
        <w:numPr>
          <w:ilvl w:val="0"/>
          <w:numId w:val="25"/>
        </w:numPr>
        <w:suppressAutoHyphens w:val="0"/>
        <w:rPr>
          <w:rFonts w:ascii="Times New Roman" w:hAnsi="Times New Roman"/>
          <w:sz w:val="24"/>
          <w:lang w:eastAsia="hu-HU"/>
        </w:rPr>
      </w:pPr>
      <w:r>
        <w:rPr>
          <w:rFonts w:ascii="Times New Roman" w:hAnsi="Times New Roman"/>
          <w:b/>
          <w:bCs/>
          <w:sz w:val="24"/>
          <w:lang w:eastAsia="hu-HU"/>
        </w:rPr>
        <w:t>Ellátottak fogadásának rendje:</w:t>
      </w:r>
      <w:r>
        <w:rPr>
          <w:rFonts w:ascii="Times New Roman" w:hAnsi="Times New Roman"/>
          <w:sz w:val="24"/>
          <w:lang w:eastAsia="hu-HU"/>
        </w:rPr>
        <w:t xml:space="preserve"> A személyi segítés szolgáltatást ellátottaik munkanapokon 8 órától 16 óráig, a szállító szolgáltatást 6.30 órától 16 óráig, az információnyújtás, tanácsadás szolgáltatást hétfőtől – csütörtökig, 7.30-16 óráig, pénteken 7.30-13.30 óráig tudják igénybe venni.</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A szolgáltatások munkaidőn túl, munkaszüneti napokon előzetes egyeztetéssel, a szolgálatvezető egyedi elbírálása alapján is igénybe vehetők.</w:t>
      </w:r>
    </w:p>
    <w:p w:rsidR="00795A46" w:rsidRDefault="00795A46" w:rsidP="00795A46">
      <w:pPr>
        <w:ind w:right="147" w:firstLine="709"/>
        <w:rPr>
          <w:rFonts w:ascii="Times New Roman" w:hAnsi="Times New Roman"/>
          <w:bCs/>
          <w:sz w:val="24"/>
        </w:rPr>
      </w:pPr>
    </w:p>
    <w:p w:rsidR="00795A46" w:rsidRDefault="00795A46" w:rsidP="00795A46">
      <w:pPr>
        <w:ind w:right="147" w:firstLine="709"/>
        <w:rPr>
          <w:rFonts w:ascii="Times New Roman" w:hAnsi="Times New Roman"/>
          <w:bCs/>
          <w:sz w:val="24"/>
        </w:rPr>
      </w:pPr>
    </w:p>
    <w:p w:rsidR="00795A46" w:rsidRDefault="00795A46" w:rsidP="00795A46">
      <w:pPr>
        <w:ind w:right="147"/>
        <w:rPr>
          <w:rFonts w:ascii="Times New Roman" w:hAnsi="Times New Roman"/>
          <w:b/>
          <w:bCs/>
          <w:i/>
          <w:sz w:val="24"/>
          <w:shd w:val="clear" w:color="auto" w:fill="C0C0C0"/>
        </w:rPr>
      </w:pPr>
      <w:r>
        <w:rPr>
          <w:rFonts w:ascii="Times New Roman" w:hAnsi="Times New Roman"/>
          <w:b/>
          <w:bCs/>
          <w:i/>
          <w:sz w:val="24"/>
          <w:shd w:val="clear" w:color="auto" w:fill="C0C0C0"/>
        </w:rPr>
        <w:t>Humán Szolgáltató Központ, Csorvás</w:t>
      </w:r>
    </w:p>
    <w:p w:rsidR="00795A46" w:rsidRDefault="00795A46" w:rsidP="00795A46">
      <w:pPr>
        <w:ind w:right="147"/>
        <w:rPr>
          <w:rFonts w:ascii="Times New Roman" w:hAnsi="Times New Roman"/>
          <w:b/>
          <w:bCs/>
          <w:i/>
          <w:sz w:val="24"/>
          <w:shd w:val="clear" w:color="auto" w:fill="C0C0C0"/>
        </w:rPr>
      </w:pPr>
    </w:p>
    <w:p w:rsidR="00795A46" w:rsidRDefault="00795A46" w:rsidP="00795A46">
      <w:pPr>
        <w:ind w:right="147"/>
        <w:rPr>
          <w:rFonts w:ascii="Times New Roman" w:hAnsi="Times New Roman"/>
          <w:bCs/>
          <w:sz w:val="24"/>
        </w:rPr>
      </w:pPr>
      <w:r>
        <w:rPr>
          <w:rFonts w:ascii="Times New Roman" w:hAnsi="Times New Roman"/>
          <w:bCs/>
          <w:sz w:val="24"/>
        </w:rPr>
        <w:t>Gondozók létszáma: 10 fő, házigondozottak létszáma kb. 90 fő, az étkeztetést igénylők száma 170 fő, az összes ellátott közül sérült, fogyatékossággal élő személy: 10 fő.</w:t>
      </w:r>
    </w:p>
    <w:p w:rsidR="00795A46" w:rsidRDefault="00795A46" w:rsidP="00795A46">
      <w:pPr>
        <w:ind w:right="147"/>
        <w:rPr>
          <w:rFonts w:ascii="Times New Roman" w:hAnsi="Times New Roman"/>
          <w:bCs/>
          <w:i/>
          <w:sz w:val="24"/>
        </w:rPr>
      </w:pPr>
    </w:p>
    <w:p w:rsidR="00795A46" w:rsidRDefault="00795A46" w:rsidP="00795A46">
      <w:pPr>
        <w:ind w:right="147"/>
        <w:rPr>
          <w:rFonts w:ascii="Times New Roman" w:hAnsi="Times New Roman"/>
          <w:bCs/>
          <w:sz w:val="24"/>
        </w:rPr>
      </w:pPr>
      <w:r>
        <w:rPr>
          <w:rFonts w:ascii="Times New Roman" w:hAnsi="Times New Roman"/>
          <w:bCs/>
          <w:i/>
          <w:sz w:val="24"/>
        </w:rPr>
        <w:t>Házi segítségnyújtás:</w:t>
      </w:r>
      <w:r>
        <w:rPr>
          <w:rFonts w:ascii="Times New Roman" w:hAnsi="Times New Roman"/>
          <w:bCs/>
          <w:sz w:val="24"/>
        </w:rPr>
        <w:t xml:space="preserve"> Házi segítségnyújtás alapszolgáltatással biztosítják a gondozásra szoruló emberek egyéni igényeire alapozott ellátás nyújtását, amelynek célja az igénybe vevő önálló életvitelének fenntartása – szükségleteinek megfelelően – saját lakásában, lakókörnyezetében. A Szolgálat segítséget nyújt ahhoz, hogy az ellátást igénybe vevő fizikai, mentális, szociális szükséglete saját környezetében, életkorának, élethelyzetének és egészségi állapotának megfelelően, meglévő képességeinek fenntartásával, felhasználásával, fejlesztésével biztosított legyen.</w:t>
      </w:r>
    </w:p>
    <w:p w:rsidR="00795A46" w:rsidRDefault="00795A46" w:rsidP="00795A46">
      <w:pPr>
        <w:ind w:right="147"/>
        <w:rPr>
          <w:rFonts w:ascii="Times New Roman" w:hAnsi="Times New Roman"/>
          <w:bCs/>
          <w:sz w:val="24"/>
        </w:rPr>
      </w:pPr>
      <w:r>
        <w:rPr>
          <w:rFonts w:ascii="Times New Roman" w:hAnsi="Times New Roman"/>
          <w:bCs/>
          <w:sz w:val="24"/>
        </w:rPr>
        <w:t>A szolgáltatások biztosítása érdekében a gondozók az ellátást igénybe vevővel segítő kapcsolatot alakítanak ki és tartanak fenn, az orvos előírása szerinti alapvető gondozási, ápolási feladatokat látják el. A szakképzett feladatellátók közreműködnek a személyi és lakókörnyezeti higiéné megtartásában, közreműködnek az ellátást igénybe vevő háztartásának vitelében, segítséget nyújtanak az ellátást igénybe vevőnek a környezetével való kapcsolattartásában. Segítséget nyújtanak továbbá az ellátást igénybe vevőt érintő veszélyhelyzet kialakulásának megelőzésében, a kialakult vészhelyzet elhárításában. Részt vesznek az egyéni és csoportos szabadidős, foglalkoztató és rehabilitációs programok szervezésében, segítik az ellátást igénybe vevőt a számukra szükséges szociális ellátásokhoz való hozzájutásban. Az ápolók együttműködnek az előgondozást végző személlyel, igény esetén segítik a bentlakásos szociális intézménybe történő beköltözést, munkájuk során együttműködnek az egészségügyi és szociális alap- és szakellátást nyújtó intézményekkel.</w:t>
      </w:r>
    </w:p>
    <w:p w:rsidR="00795A46" w:rsidRDefault="00795A46" w:rsidP="00795A46">
      <w:pPr>
        <w:rPr>
          <w:rFonts w:ascii="Times New Roman" w:hAnsi="Times New Roman"/>
          <w:bCs/>
          <w:i/>
          <w:sz w:val="24"/>
        </w:rPr>
      </w:pPr>
    </w:p>
    <w:p w:rsidR="00795A46" w:rsidRDefault="00795A46" w:rsidP="00795A46">
      <w:pPr>
        <w:rPr>
          <w:rFonts w:ascii="Times New Roman" w:hAnsi="Times New Roman"/>
          <w:color w:val="000000"/>
          <w:sz w:val="24"/>
          <w:lang w:eastAsia="hu-HU"/>
        </w:rPr>
      </w:pPr>
      <w:r>
        <w:rPr>
          <w:rFonts w:ascii="Times New Roman" w:hAnsi="Times New Roman"/>
          <w:bCs/>
          <w:sz w:val="24"/>
        </w:rPr>
        <w:t>Az</w:t>
      </w:r>
      <w:r>
        <w:rPr>
          <w:rFonts w:ascii="Times New Roman" w:hAnsi="Times New Roman"/>
          <w:bCs/>
          <w:i/>
          <w:sz w:val="24"/>
        </w:rPr>
        <w:t xml:space="preserve"> étkeztetést, </w:t>
      </w:r>
      <w:r>
        <w:rPr>
          <w:rFonts w:ascii="Times New Roman" w:hAnsi="Times New Roman"/>
          <w:bCs/>
          <w:sz w:val="24"/>
        </w:rPr>
        <w:t xml:space="preserve">mint szociális alapszolgáltatást azoknak a szociálisan rászorultaknak nyújtják, akik önmaguk, illetve eltartottjaik számára tartósan vagy átmeneti jelleggel nem képesek biztosítani a legalább napi egyszeri meleg étkezést, különösen koruk, egészségi állapotuk, fogyatékosságuk miatt. </w:t>
      </w:r>
      <w:r>
        <w:rPr>
          <w:rFonts w:ascii="Times New Roman" w:hAnsi="Times New Roman"/>
          <w:color w:val="000000"/>
          <w:sz w:val="24"/>
          <w:lang w:eastAsia="hu-HU"/>
        </w:rPr>
        <w:t xml:space="preserve">Ezt a szolgáltatást 170 fő veszi igénybe. Ők több főzőkonyha étrendjéből választhatnak, amit a szolgáltató gondozói közreműködésével juttat el az ellátottakhoz. </w:t>
      </w:r>
    </w:p>
    <w:p w:rsidR="00795A46" w:rsidRDefault="00795A46" w:rsidP="00795A46">
      <w:pPr>
        <w:ind w:right="147"/>
        <w:rPr>
          <w:rFonts w:ascii="Times New Roman" w:hAnsi="Times New Roman"/>
          <w:bCs/>
          <w:sz w:val="24"/>
        </w:rPr>
      </w:pPr>
      <w:r>
        <w:rPr>
          <w:rFonts w:ascii="Times New Roman" w:hAnsi="Times New Roman"/>
          <w:bCs/>
          <w:sz w:val="24"/>
        </w:rPr>
        <w:t>A Humán Szolgáltató Központ a házi segítségnyújtást térítésmentesen, az étkeztetést kedvezményesen biztosítja az ellátottak részére.</w:t>
      </w:r>
    </w:p>
    <w:p w:rsidR="00795A46" w:rsidRDefault="00795A46" w:rsidP="00795A46">
      <w:pPr>
        <w:ind w:right="147" w:firstLine="30"/>
        <w:rPr>
          <w:rFonts w:ascii="Times New Roman" w:hAnsi="Times New Roman"/>
          <w:bCs/>
          <w:sz w:val="24"/>
          <w:u w:val="single"/>
        </w:rPr>
      </w:pPr>
    </w:p>
    <w:p w:rsidR="00795A46" w:rsidRDefault="00795A46" w:rsidP="00795A46">
      <w:pPr>
        <w:ind w:right="147" w:firstLine="30"/>
        <w:rPr>
          <w:rFonts w:ascii="Times New Roman" w:hAnsi="Times New Roman"/>
          <w:bCs/>
          <w:sz w:val="24"/>
          <w:u w:val="single"/>
        </w:rPr>
      </w:pPr>
    </w:p>
    <w:p w:rsidR="00795A46" w:rsidRDefault="00795A46" w:rsidP="00795A46">
      <w:pPr>
        <w:ind w:right="147" w:firstLine="30"/>
        <w:rPr>
          <w:rFonts w:ascii="Times New Roman" w:hAnsi="Times New Roman"/>
          <w:b/>
          <w:bCs/>
          <w:i/>
          <w:sz w:val="24"/>
        </w:rPr>
      </w:pPr>
      <w:r>
        <w:rPr>
          <w:rFonts w:ascii="Times New Roman" w:hAnsi="Times New Roman"/>
          <w:b/>
          <w:bCs/>
          <w:i/>
          <w:sz w:val="24"/>
          <w:highlight w:val="lightGray"/>
        </w:rPr>
        <w:t>Mozgáskorlátozottak Csorvási Egyesülete</w:t>
      </w:r>
      <w:r>
        <w:rPr>
          <w:rFonts w:ascii="Times New Roman" w:hAnsi="Times New Roman"/>
          <w:b/>
          <w:bCs/>
          <w:i/>
          <w:sz w:val="24"/>
        </w:rPr>
        <w:t xml:space="preserve"> </w:t>
      </w:r>
    </w:p>
    <w:p w:rsidR="00795A46" w:rsidRDefault="00795A46" w:rsidP="00795A46">
      <w:pPr>
        <w:ind w:right="147" w:firstLine="30"/>
        <w:rPr>
          <w:rFonts w:ascii="Times New Roman" w:hAnsi="Times New Roman"/>
          <w:b/>
          <w:bCs/>
          <w:sz w:val="24"/>
        </w:rPr>
      </w:pPr>
    </w:p>
    <w:p w:rsidR="00795A46" w:rsidRDefault="00795A46" w:rsidP="00795A46">
      <w:pPr>
        <w:ind w:right="147" w:firstLine="30"/>
        <w:rPr>
          <w:rFonts w:ascii="Times New Roman" w:hAnsi="Times New Roman"/>
          <w:bCs/>
          <w:sz w:val="24"/>
        </w:rPr>
      </w:pPr>
      <w:r>
        <w:rPr>
          <w:rFonts w:ascii="Times New Roman" w:hAnsi="Times New Roman"/>
          <w:bCs/>
          <w:sz w:val="24"/>
        </w:rPr>
        <w:t xml:space="preserve">A közhasznú szervezet tagjainak száma megközelíti a 100 főt. A tagok megfelelő orvosi diagnózis alapján jelentkezhetnek és nyerhetnek felvételt az Egyesületbe, valamint felvételre jogosultak a fogyatékossági támogatásban részesülők is. Az egyesületnek 25 pártoló tagja van. Az egyesület alapszabályban rögzített feladata, hogy a mozgáskorlátozott emberek életkörülményeit megkönnyítse, tájékoztatással, tanácsadással segítse az ügyeik intézését, kapcsolatot tartsanak hasonló szervezetekkel. Az Egyesület ezeket a feladatait a Mozgáskorlátozottak Országos Szövetsége célkitűzéseivel összhangban végzi. Fontos feladatuknak tartják, hogy segítséget nyújtsanak a mozgáskorlátozott embereknek az egészségmegőrzés-, a betegségmegelőzés-, gyógyító-rehabilitációs tevékenység területén, ismereteket adjanak át az egészséges táplálkozás alapelveiről. Fontos célnak tartják továbbá, hogy a tagok ismerjék meg az egészségügyi problémájuk leküzdéséhez, vagy szinten-tartásához segítséget nyújtó gyógyszerek, gyógyászati segédeszközök kínálta lehetőségeket.  </w:t>
      </w:r>
    </w:p>
    <w:p w:rsidR="00795A46" w:rsidRDefault="00795A46" w:rsidP="00795A46">
      <w:pPr>
        <w:ind w:right="147" w:firstLine="30"/>
        <w:rPr>
          <w:rFonts w:ascii="Times New Roman" w:hAnsi="Times New Roman"/>
          <w:bCs/>
          <w:sz w:val="24"/>
        </w:rPr>
      </w:pPr>
      <w:r>
        <w:rPr>
          <w:rFonts w:ascii="Times New Roman" w:hAnsi="Times New Roman"/>
          <w:bCs/>
          <w:sz w:val="24"/>
        </w:rPr>
        <w:t xml:space="preserve">Az egyesület tagjai havonta tartanak taggyűléseket, klubfoglalkozásokat, ahol a hasonló problémával küzdő emberek együtt tölthetik szabadidejüket, szórakozhatnak, bővíthetik ismereteiket, kulturális programokon vehetnek részt. </w:t>
      </w:r>
    </w:p>
    <w:p w:rsidR="00795A46" w:rsidRDefault="00795A46" w:rsidP="00795A46">
      <w:pPr>
        <w:ind w:right="147" w:firstLine="30"/>
        <w:rPr>
          <w:rFonts w:ascii="Times New Roman" w:hAnsi="Times New Roman"/>
          <w:bCs/>
          <w:sz w:val="24"/>
        </w:rPr>
      </w:pPr>
    </w:p>
    <w:p w:rsidR="00795A46" w:rsidRDefault="00795A46" w:rsidP="00795A46">
      <w:pPr>
        <w:keepNext/>
        <w:tabs>
          <w:tab w:val="left" w:pos="2580"/>
        </w:tabs>
        <w:rPr>
          <w:rFonts w:ascii="Times New Roman" w:hAnsi="Times New Roman"/>
          <w:bCs/>
          <w:iCs/>
          <w:sz w:val="24"/>
          <w:shd w:val="clear" w:color="auto" w:fill="00FF00"/>
        </w:rPr>
      </w:pPr>
      <w:r>
        <w:rPr>
          <w:rFonts w:ascii="Times New Roman" w:hAnsi="Times New Roman"/>
          <w:bCs/>
          <w:iCs/>
          <w:sz w:val="24"/>
          <w:shd w:val="clear" w:color="auto" w:fill="00FF00"/>
        </w:rPr>
        <w:t>7.1.1 számú táblázat - Megváltozott munkaképességű személyek szociális ellátásaiban részesülők száma nemenként</w:t>
      </w:r>
    </w:p>
    <w:p w:rsidR="00795A46" w:rsidRDefault="00795A46" w:rsidP="00795A46">
      <w:pPr>
        <w:keepNext/>
        <w:tabs>
          <w:tab w:val="left" w:pos="2580"/>
        </w:tabs>
        <w:rPr>
          <w:rFonts w:ascii="Times New Roman" w:hAnsi="Times New Roman"/>
          <w:bCs/>
          <w:iCs/>
          <w:sz w:val="24"/>
        </w:rPr>
      </w:pPr>
    </w:p>
    <w:tbl>
      <w:tblPr>
        <w:tblW w:w="0" w:type="auto"/>
        <w:tblInd w:w="75" w:type="dxa"/>
        <w:tblCellMar>
          <w:left w:w="70" w:type="dxa"/>
          <w:right w:w="70" w:type="dxa"/>
        </w:tblCellMar>
        <w:tblLook w:val="04A0" w:firstRow="1" w:lastRow="0" w:firstColumn="1" w:lastColumn="0" w:noHBand="0" w:noVBand="1"/>
      </w:tblPr>
      <w:tblGrid>
        <w:gridCol w:w="1323"/>
        <w:gridCol w:w="3999"/>
        <w:gridCol w:w="4231"/>
      </w:tblGrid>
      <w:tr w:rsidR="00795A46" w:rsidTr="00795A46">
        <w:trPr>
          <w:trHeight w:val="731"/>
        </w:trPr>
        <w:tc>
          <w:tcPr>
            <w:tcW w:w="1360" w:type="dxa"/>
            <w:tcBorders>
              <w:top w:val="single" w:sz="4" w:space="0" w:color="auto"/>
              <w:left w:val="single" w:sz="4" w:space="0" w:color="auto"/>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b/>
                <w:bCs/>
                <w:color w:val="000000"/>
                <w:szCs w:val="22"/>
                <w:lang w:eastAsia="hu-HU"/>
              </w:rPr>
            </w:pPr>
            <w:r>
              <w:rPr>
                <w:rFonts w:ascii="Times New Roman" w:hAnsi="Times New Roman"/>
                <w:b/>
                <w:bCs/>
                <w:color w:val="000000"/>
                <w:szCs w:val="22"/>
                <w:lang w:eastAsia="hu-HU"/>
              </w:rPr>
              <w:t>Év</w:t>
            </w:r>
          </w:p>
        </w:tc>
        <w:tc>
          <w:tcPr>
            <w:tcW w:w="4120" w:type="dxa"/>
            <w:tcBorders>
              <w:top w:val="single" w:sz="4" w:space="0" w:color="auto"/>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b/>
                <w:bCs/>
                <w:color w:val="000000"/>
                <w:szCs w:val="22"/>
                <w:lang w:eastAsia="hu-HU"/>
              </w:rPr>
            </w:pPr>
            <w:r>
              <w:rPr>
                <w:rFonts w:ascii="Times New Roman" w:hAnsi="Times New Roman"/>
                <w:b/>
                <w:bCs/>
                <w:color w:val="000000"/>
                <w:szCs w:val="22"/>
                <w:lang w:eastAsia="hu-HU"/>
              </w:rPr>
              <w:t>Megváltozott munkaképességű személyek szociális ellátásaiban részesülők száma - férfiak</w:t>
            </w:r>
          </w:p>
        </w:tc>
        <w:tc>
          <w:tcPr>
            <w:tcW w:w="4360" w:type="dxa"/>
            <w:tcBorders>
              <w:top w:val="single" w:sz="4" w:space="0" w:color="auto"/>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b/>
                <w:bCs/>
                <w:color w:val="000000"/>
                <w:szCs w:val="22"/>
                <w:lang w:eastAsia="hu-HU"/>
              </w:rPr>
            </w:pPr>
            <w:r>
              <w:rPr>
                <w:rFonts w:ascii="Times New Roman" w:hAnsi="Times New Roman"/>
                <w:b/>
                <w:bCs/>
                <w:color w:val="000000"/>
                <w:szCs w:val="22"/>
                <w:lang w:eastAsia="hu-HU"/>
              </w:rPr>
              <w:t>Megváltozott munkaképességű személyek szociális ellátásaiban részesülők száma - nők</w:t>
            </w:r>
          </w:p>
        </w:tc>
      </w:tr>
      <w:tr w:rsidR="00795A46" w:rsidTr="00795A46">
        <w:trPr>
          <w:trHeight w:val="300"/>
        </w:trPr>
        <w:tc>
          <w:tcPr>
            <w:tcW w:w="1360" w:type="dxa"/>
            <w:tcBorders>
              <w:top w:val="nil"/>
              <w:left w:val="single" w:sz="4" w:space="0" w:color="auto"/>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2013</w:t>
            </w:r>
          </w:p>
        </w:tc>
        <w:tc>
          <w:tcPr>
            <w:tcW w:w="412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150</w:t>
            </w:r>
          </w:p>
        </w:tc>
        <w:tc>
          <w:tcPr>
            <w:tcW w:w="436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222</w:t>
            </w:r>
          </w:p>
        </w:tc>
      </w:tr>
      <w:tr w:rsidR="00795A46" w:rsidTr="00795A46">
        <w:trPr>
          <w:trHeight w:val="300"/>
        </w:trPr>
        <w:tc>
          <w:tcPr>
            <w:tcW w:w="1360" w:type="dxa"/>
            <w:tcBorders>
              <w:top w:val="nil"/>
              <w:left w:val="single" w:sz="4" w:space="0" w:color="auto"/>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2014</w:t>
            </w:r>
          </w:p>
        </w:tc>
        <w:tc>
          <w:tcPr>
            <w:tcW w:w="412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139</w:t>
            </w:r>
          </w:p>
        </w:tc>
        <w:tc>
          <w:tcPr>
            <w:tcW w:w="436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209</w:t>
            </w:r>
          </w:p>
        </w:tc>
      </w:tr>
      <w:tr w:rsidR="00795A46" w:rsidTr="00795A46">
        <w:trPr>
          <w:trHeight w:val="300"/>
        </w:trPr>
        <w:tc>
          <w:tcPr>
            <w:tcW w:w="1360" w:type="dxa"/>
            <w:tcBorders>
              <w:top w:val="nil"/>
              <w:left w:val="single" w:sz="4" w:space="0" w:color="auto"/>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2015</w:t>
            </w:r>
          </w:p>
        </w:tc>
        <w:tc>
          <w:tcPr>
            <w:tcW w:w="412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133</w:t>
            </w:r>
          </w:p>
        </w:tc>
        <w:tc>
          <w:tcPr>
            <w:tcW w:w="436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202</w:t>
            </w:r>
          </w:p>
        </w:tc>
      </w:tr>
      <w:tr w:rsidR="00795A46" w:rsidTr="00795A46">
        <w:trPr>
          <w:trHeight w:val="289"/>
        </w:trPr>
        <w:tc>
          <w:tcPr>
            <w:tcW w:w="1360" w:type="dxa"/>
            <w:tcBorders>
              <w:top w:val="nil"/>
              <w:left w:val="single" w:sz="4" w:space="0" w:color="auto"/>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2016</w:t>
            </w:r>
          </w:p>
        </w:tc>
        <w:tc>
          <w:tcPr>
            <w:tcW w:w="412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135</w:t>
            </w:r>
          </w:p>
        </w:tc>
        <w:tc>
          <w:tcPr>
            <w:tcW w:w="436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190</w:t>
            </w:r>
          </w:p>
        </w:tc>
      </w:tr>
      <w:tr w:rsidR="00795A46" w:rsidTr="00795A46">
        <w:trPr>
          <w:trHeight w:val="300"/>
        </w:trPr>
        <w:tc>
          <w:tcPr>
            <w:tcW w:w="1360" w:type="dxa"/>
            <w:tcBorders>
              <w:top w:val="nil"/>
              <w:left w:val="single" w:sz="4" w:space="0" w:color="auto"/>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2017</w:t>
            </w:r>
          </w:p>
        </w:tc>
        <w:tc>
          <w:tcPr>
            <w:tcW w:w="412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128</w:t>
            </w:r>
          </w:p>
        </w:tc>
        <w:tc>
          <w:tcPr>
            <w:tcW w:w="436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180</w:t>
            </w:r>
          </w:p>
        </w:tc>
      </w:tr>
      <w:tr w:rsidR="00795A46" w:rsidTr="00795A46">
        <w:trPr>
          <w:trHeight w:val="300"/>
        </w:trPr>
        <w:tc>
          <w:tcPr>
            <w:tcW w:w="1360" w:type="dxa"/>
            <w:tcBorders>
              <w:top w:val="single" w:sz="4" w:space="0" w:color="auto"/>
              <w:left w:val="single" w:sz="4" w:space="0" w:color="auto"/>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2018</w:t>
            </w:r>
          </w:p>
        </w:tc>
        <w:tc>
          <w:tcPr>
            <w:tcW w:w="4120"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126</w:t>
            </w:r>
          </w:p>
        </w:tc>
        <w:tc>
          <w:tcPr>
            <w:tcW w:w="4360"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167</w:t>
            </w:r>
          </w:p>
        </w:tc>
      </w:tr>
      <w:tr w:rsidR="00795A46" w:rsidTr="00795A46">
        <w:trPr>
          <w:trHeight w:val="300"/>
        </w:trPr>
        <w:tc>
          <w:tcPr>
            <w:tcW w:w="1360" w:type="dxa"/>
            <w:tcBorders>
              <w:top w:val="single" w:sz="4" w:space="0" w:color="auto"/>
              <w:left w:val="single" w:sz="4" w:space="0" w:color="auto"/>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2019</w:t>
            </w:r>
          </w:p>
        </w:tc>
        <w:tc>
          <w:tcPr>
            <w:tcW w:w="4120"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109</w:t>
            </w:r>
          </w:p>
        </w:tc>
        <w:tc>
          <w:tcPr>
            <w:tcW w:w="4360"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152</w:t>
            </w:r>
          </w:p>
        </w:tc>
      </w:tr>
    </w:tbl>
    <w:p w:rsidR="00795A46" w:rsidRDefault="00795A46" w:rsidP="00795A46">
      <w:pPr>
        <w:spacing w:line="276" w:lineRule="auto"/>
        <w:jc w:val="left"/>
        <w:rPr>
          <w:rFonts w:ascii="Times New Roman" w:hAnsi="Times New Roman"/>
          <w:sz w:val="20"/>
          <w:szCs w:val="20"/>
        </w:rPr>
      </w:pPr>
      <w:r>
        <w:rPr>
          <w:rFonts w:ascii="Times New Roman" w:hAnsi="Times New Roman"/>
          <w:sz w:val="20"/>
          <w:szCs w:val="20"/>
        </w:rPr>
        <w:t>Forrás: TeIR, KSH Tstar</w:t>
      </w:r>
    </w:p>
    <w:p w:rsidR="00795A46" w:rsidRDefault="00795A46" w:rsidP="00795A46">
      <w:pPr>
        <w:keepNext/>
        <w:tabs>
          <w:tab w:val="left" w:pos="2580"/>
        </w:tabs>
        <w:rPr>
          <w:rFonts w:ascii="Times New Roman" w:hAnsi="Times New Roman"/>
          <w:bCs/>
          <w:iCs/>
          <w:sz w:val="20"/>
          <w:szCs w:val="20"/>
        </w:rPr>
      </w:pPr>
    </w:p>
    <w:p w:rsidR="00795A46" w:rsidRDefault="00795A46" w:rsidP="00795A46">
      <w:pPr>
        <w:keepNext/>
        <w:tabs>
          <w:tab w:val="left" w:pos="2580"/>
        </w:tabs>
        <w:jc w:val="center"/>
        <w:rPr>
          <w:rFonts w:ascii="Times New Roman" w:hAnsi="Times New Roman"/>
          <w:bCs/>
          <w:iCs/>
          <w:sz w:val="20"/>
          <w:szCs w:val="20"/>
        </w:rPr>
      </w:pPr>
      <w:r>
        <w:rPr>
          <w:rFonts w:ascii="Times New Roman" w:hAnsi="Times New Roman"/>
          <w:noProof/>
          <w:szCs w:val="22"/>
          <w:lang w:eastAsia="hu-HU"/>
        </w:rPr>
        <w:drawing>
          <wp:inline distT="0" distB="0" distL="0" distR="0">
            <wp:extent cx="5191125" cy="2276475"/>
            <wp:effectExtent l="0" t="0" r="0" b="9525"/>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91125" cy="2276475"/>
                    </a:xfrm>
                    <a:prstGeom prst="rect">
                      <a:avLst/>
                    </a:prstGeom>
                    <a:noFill/>
                    <a:ln>
                      <a:noFill/>
                    </a:ln>
                  </pic:spPr>
                </pic:pic>
              </a:graphicData>
            </a:graphic>
          </wp:inline>
        </w:drawing>
      </w:r>
    </w:p>
    <w:p w:rsidR="00795A46" w:rsidRDefault="00795A46" w:rsidP="00795A46">
      <w:pPr>
        <w:suppressAutoHyphens w:val="0"/>
        <w:spacing w:before="100" w:beforeAutospacing="1" w:after="100" w:afterAutospacing="1"/>
        <w:rPr>
          <w:rFonts w:ascii="Times New Roman" w:hAnsi="Times New Roman"/>
          <w:sz w:val="24"/>
          <w:lang w:eastAsia="hu-HU"/>
        </w:rPr>
      </w:pPr>
      <w:r>
        <w:rPr>
          <w:rFonts w:ascii="Times New Roman" w:hAnsi="Times New Roman"/>
          <w:sz w:val="24"/>
        </w:rPr>
        <w:t>A megváltozott munkaképességű személyek ellátásairól és egyes törvények módosításáról szóló 2011. évi CXCI. törvény szerint m</w:t>
      </w:r>
      <w:r>
        <w:rPr>
          <w:rFonts w:ascii="Times New Roman" w:hAnsi="Times New Roman"/>
          <w:sz w:val="24"/>
          <w:lang w:eastAsia="hu-HU"/>
        </w:rPr>
        <w:t>egváltozott munkaképességű személyek ellátásaira jogosult az a 15. életévét betöltött személy, akinek az egészségi állapota a rehabilitációs hatóság komplex minősítése alapján 60 százalékos vagy kisebb mértékű és aki a jogszabályban meghatározott ideig biztosított volt;</w:t>
      </w:r>
      <w:r>
        <w:rPr>
          <w:rFonts w:ascii="Times New Roman" w:hAnsi="Times New Roman"/>
          <w:i/>
          <w:iCs/>
          <w:sz w:val="24"/>
          <w:lang w:eastAsia="hu-HU"/>
        </w:rPr>
        <w:t xml:space="preserve"> </w:t>
      </w:r>
      <w:r>
        <w:rPr>
          <w:rFonts w:ascii="Times New Roman" w:hAnsi="Times New Roman"/>
          <w:sz w:val="24"/>
          <w:lang w:eastAsia="hu-HU"/>
        </w:rPr>
        <w:t>keresőtevékenységet nem végez és rendszeres pénzellátásban nem részesül.</w:t>
      </w:r>
    </w:p>
    <w:p w:rsidR="00795A46" w:rsidRDefault="00795A46" w:rsidP="00795A46">
      <w:pPr>
        <w:keepNext/>
        <w:tabs>
          <w:tab w:val="left" w:pos="2580"/>
        </w:tabs>
        <w:rPr>
          <w:rFonts w:ascii="Times New Roman" w:hAnsi="Times New Roman"/>
          <w:bCs/>
          <w:iCs/>
          <w:sz w:val="24"/>
        </w:rPr>
      </w:pPr>
      <w:r>
        <w:rPr>
          <w:rFonts w:ascii="Times New Roman" w:hAnsi="Times New Roman"/>
          <w:bCs/>
          <w:iCs/>
          <w:sz w:val="24"/>
        </w:rPr>
        <w:t>A megváltozott munkaképességű személyek száma a fenti adatok alapján csökkenő tendenciát mutat az utóbbi években, ami annak tudható be, hogy a megváltozott munkaképességűek folyamatosan érik el a nyugdíjas kort, melynek eredményeként kikerülnek ebből a kategóriából.</w:t>
      </w:r>
    </w:p>
    <w:p w:rsidR="00795A46" w:rsidRDefault="00795A46" w:rsidP="00795A46">
      <w:pPr>
        <w:keepNext/>
        <w:tabs>
          <w:tab w:val="left" w:pos="2580"/>
        </w:tabs>
        <w:rPr>
          <w:rFonts w:ascii="Times New Roman" w:hAnsi="Times New Roman"/>
          <w:bCs/>
          <w:iCs/>
          <w:sz w:val="20"/>
          <w:szCs w:val="20"/>
        </w:rPr>
      </w:pPr>
    </w:p>
    <w:p w:rsidR="00795A46" w:rsidRDefault="00795A46" w:rsidP="00795A46">
      <w:pPr>
        <w:keepNext/>
        <w:tabs>
          <w:tab w:val="left" w:pos="2580"/>
        </w:tabs>
        <w:rPr>
          <w:rFonts w:ascii="Times New Roman" w:hAnsi="Times New Roman"/>
          <w:bCs/>
          <w:iCs/>
          <w:sz w:val="24"/>
          <w:shd w:val="clear" w:color="auto" w:fill="00FF00"/>
        </w:rPr>
      </w:pPr>
      <w:r>
        <w:rPr>
          <w:rFonts w:ascii="Times New Roman" w:hAnsi="Times New Roman"/>
          <w:bCs/>
          <w:iCs/>
          <w:sz w:val="24"/>
          <w:shd w:val="clear" w:color="auto" w:fill="00FF00"/>
        </w:rPr>
        <w:t>7.1.2. számú táblázat - Nappali ellátásban részesülő fogyatékos személyek száma</w:t>
      </w:r>
    </w:p>
    <w:p w:rsidR="00795A46" w:rsidRDefault="00795A46" w:rsidP="00795A46">
      <w:pPr>
        <w:keepNext/>
        <w:tabs>
          <w:tab w:val="left" w:pos="2580"/>
        </w:tabs>
        <w:rPr>
          <w:rFonts w:ascii="Times New Roman" w:hAnsi="Times New Roman"/>
          <w:bCs/>
          <w:iCs/>
          <w:sz w:val="24"/>
        </w:rPr>
      </w:pPr>
    </w:p>
    <w:tbl>
      <w:tblPr>
        <w:tblW w:w="0" w:type="auto"/>
        <w:tblInd w:w="75" w:type="dxa"/>
        <w:tblCellMar>
          <w:left w:w="70" w:type="dxa"/>
          <w:right w:w="70" w:type="dxa"/>
        </w:tblCellMar>
        <w:tblLook w:val="04A0" w:firstRow="1" w:lastRow="0" w:firstColumn="1" w:lastColumn="0" w:noHBand="0" w:noVBand="1"/>
      </w:tblPr>
      <w:tblGrid>
        <w:gridCol w:w="1120"/>
        <w:gridCol w:w="2740"/>
        <w:gridCol w:w="2509"/>
        <w:gridCol w:w="2618"/>
      </w:tblGrid>
      <w:tr w:rsidR="00795A46" w:rsidTr="00795A46">
        <w:trPr>
          <w:trHeight w:val="667"/>
        </w:trPr>
        <w:tc>
          <w:tcPr>
            <w:tcW w:w="1120" w:type="dxa"/>
            <w:tcBorders>
              <w:top w:val="single" w:sz="4" w:space="0" w:color="auto"/>
              <w:left w:val="single" w:sz="4" w:space="0" w:color="auto"/>
              <w:bottom w:val="nil"/>
              <w:right w:val="single" w:sz="4" w:space="0" w:color="auto"/>
            </w:tcBorders>
            <w:noWrap/>
            <w:vAlign w:val="center"/>
            <w:hideMark/>
          </w:tcPr>
          <w:p w:rsidR="00795A46" w:rsidRDefault="00795A46">
            <w:pPr>
              <w:suppressAutoHyphens w:val="0"/>
              <w:spacing w:line="256" w:lineRule="auto"/>
              <w:jc w:val="center"/>
              <w:rPr>
                <w:rFonts w:ascii="Times New Roman" w:hAnsi="Times New Roman"/>
                <w:b/>
                <w:bCs/>
                <w:color w:val="000000"/>
                <w:szCs w:val="22"/>
                <w:lang w:eastAsia="hu-HU"/>
              </w:rPr>
            </w:pPr>
            <w:r>
              <w:rPr>
                <w:rFonts w:ascii="Times New Roman" w:hAnsi="Times New Roman"/>
                <w:b/>
                <w:bCs/>
                <w:color w:val="000000"/>
                <w:szCs w:val="22"/>
                <w:lang w:eastAsia="hu-HU"/>
              </w:rPr>
              <w:t>Év</w:t>
            </w:r>
          </w:p>
        </w:tc>
        <w:tc>
          <w:tcPr>
            <w:tcW w:w="2740" w:type="dxa"/>
            <w:tcBorders>
              <w:top w:val="single" w:sz="4" w:space="0" w:color="auto"/>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b/>
                <w:bCs/>
                <w:color w:val="000000"/>
                <w:szCs w:val="22"/>
                <w:lang w:eastAsia="hu-HU"/>
              </w:rPr>
            </w:pPr>
            <w:r>
              <w:rPr>
                <w:rFonts w:ascii="Times New Roman" w:hAnsi="Times New Roman"/>
                <w:b/>
                <w:bCs/>
                <w:color w:val="000000"/>
                <w:szCs w:val="22"/>
                <w:lang w:eastAsia="hu-HU"/>
              </w:rPr>
              <w:t>Nappali ellátásban részesülő fogyatékos személyek száma</w:t>
            </w:r>
          </w:p>
        </w:tc>
        <w:tc>
          <w:tcPr>
            <w:tcW w:w="2509" w:type="dxa"/>
            <w:tcBorders>
              <w:top w:val="single" w:sz="4" w:space="0" w:color="auto"/>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b/>
                <w:bCs/>
                <w:color w:val="000000"/>
                <w:szCs w:val="22"/>
                <w:lang w:eastAsia="hu-HU"/>
              </w:rPr>
            </w:pPr>
            <w:r>
              <w:rPr>
                <w:rFonts w:ascii="Times New Roman" w:hAnsi="Times New Roman"/>
                <w:b/>
                <w:bCs/>
                <w:color w:val="000000"/>
                <w:szCs w:val="22"/>
                <w:lang w:eastAsia="hu-HU"/>
              </w:rPr>
              <w:t>Egyházi fenntartású intézményben</w:t>
            </w:r>
          </w:p>
        </w:tc>
        <w:tc>
          <w:tcPr>
            <w:tcW w:w="2618" w:type="dxa"/>
            <w:tcBorders>
              <w:top w:val="single" w:sz="4" w:space="0" w:color="auto"/>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b/>
                <w:bCs/>
                <w:color w:val="000000"/>
                <w:szCs w:val="22"/>
                <w:lang w:eastAsia="hu-HU"/>
              </w:rPr>
            </w:pPr>
            <w:r>
              <w:rPr>
                <w:rFonts w:ascii="Times New Roman" w:hAnsi="Times New Roman"/>
                <w:b/>
                <w:bCs/>
                <w:color w:val="000000"/>
                <w:szCs w:val="22"/>
                <w:lang w:eastAsia="hu-HU"/>
              </w:rPr>
              <w:t xml:space="preserve">Civil fenntartású intézményben </w:t>
            </w:r>
          </w:p>
        </w:tc>
      </w:tr>
      <w:tr w:rsidR="00795A46" w:rsidTr="00795A46">
        <w:trPr>
          <w:trHeight w:val="300"/>
        </w:trPr>
        <w:tc>
          <w:tcPr>
            <w:tcW w:w="1120" w:type="dxa"/>
            <w:tcBorders>
              <w:top w:val="nil"/>
              <w:left w:val="single" w:sz="4" w:space="0" w:color="auto"/>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2015</w:t>
            </w:r>
          </w:p>
        </w:tc>
        <w:tc>
          <w:tcPr>
            <w:tcW w:w="274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n.a.</w:t>
            </w:r>
          </w:p>
        </w:tc>
        <w:tc>
          <w:tcPr>
            <w:tcW w:w="2509"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n.a.</w:t>
            </w:r>
          </w:p>
        </w:tc>
        <w:tc>
          <w:tcPr>
            <w:tcW w:w="261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n.a.</w:t>
            </w:r>
          </w:p>
        </w:tc>
      </w:tr>
      <w:tr w:rsidR="00795A46" w:rsidTr="00795A46">
        <w:trPr>
          <w:trHeight w:val="289"/>
        </w:trPr>
        <w:tc>
          <w:tcPr>
            <w:tcW w:w="1120" w:type="dxa"/>
            <w:tcBorders>
              <w:top w:val="nil"/>
              <w:left w:val="single" w:sz="4" w:space="0" w:color="auto"/>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2016</w:t>
            </w:r>
          </w:p>
        </w:tc>
        <w:tc>
          <w:tcPr>
            <w:tcW w:w="274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n.a.</w:t>
            </w:r>
          </w:p>
        </w:tc>
        <w:tc>
          <w:tcPr>
            <w:tcW w:w="2509"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n.a.</w:t>
            </w:r>
          </w:p>
        </w:tc>
        <w:tc>
          <w:tcPr>
            <w:tcW w:w="261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n.a.</w:t>
            </w:r>
          </w:p>
        </w:tc>
      </w:tr>
      <w:tr w:rsidR="00795A46" w:rsidTr="00795A46">
        <w:trPr>
          <w:trHeight w:val="300"/>
        </w:trPr>
        <w:tc>
          <w:tcPr>
            <w:tcW w:w="1120" w:type="dxa"/>
            <w:tcBorders>
              <w:top w:val="single" w:sz="4" w:space="0" w:color="auto"/>
              <w:left w:val="single" w:sz="4" w:space="0" w:color="auto"/>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2017</w:t>
            </w:r>
          </w:p>
        </w:tc>
        <w:tc>
          <w:tcPr>
            <w:tcW w:w="2740"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n.a.</w:t>
            </w:r>
          </w:p>
        </w:tc>
        <w:tc>
          <w:tcPr>
            <w:tcW w:w="2509" w:type="dxa"/>
            <w:tcBorders>
              <w:top w:val="single" w:sz="4" w:space="0" w:color="auto"/>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n.a.</w:t>
            </w:r>
          </w:p>
        </w:tc>
        <w:tc>
          <w:tcPr>
            <w:tcW w:w="2618" w:type="dxa"/>
            <w:tcBorders>
              <w:top w:val="single" w:sz="4" w:space="0" w:color="auto"/>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n.a.</w:t>
            </w:r>
          </w:p>
        </w:tc>
      </w:tr>
      <w:tr w:rsidR="00795A46" w:rsidTr="00795A46">
        <w:trPr>
          <w:trHeight w:val="300"/>
        </w:trPr>
        <w:tc>
          <w:tcPr>
            <w:tcW w:w="1120" w:type="dxa"/>
            <w:tcBorders>
              <w:top w:val="single" w:sz="4" w:space="0" w:color="auto"/>
              <w:left w:val="single" w:sz="4" w:space="0" w:color="auto"/>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2018</w:t>
            </w:r>
          </w:p>
        </w:tc>
        <w:tc>
          <w:tcPr>
            <w:tcW w:w="2740"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n.a.</w:t>
            </w:r>
          </w:p>
        </w:tc>
        <w:tc>
          <w:tcPr>
            <w:tcW w:w="2509" w:type="dxa"/>
            <w:tcBorders>
              <w:top w:val="single" w:sz="4" w:space="0" w:color="auto"/>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n.a.</w:t>
            </w:r>
          </w:p>
        </w:tc>
        <w:tc>
          <w:tcPr>
            <w:tcW w:w="2618" w:type="dxa"/>
            <w:tcBorders>
              <w:top w:val="single" w:sz="4" w:space="0" w:color="auto"/>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n.a.</w:t>
            </w:r>
          </w:p>
        </w:tc>
      </w:tr>
      <w:tr w:rsidR="00795A46" w:rsidTr="00795A46">
        <w:trPr>
          <w:trHeight w:val="300"/>
        </w:trPr>
        <w:tc>
          <w:tcPr>
            <w:tcW w:w="1120" w:type="dxa"/>
            <w:tcBorders>
              <w:top w:val="single" w:sz="4" w:space="0" w:color="auto"/>
              <w:left w:val="single" w:sz="4" w:space="0" w:color="auto"/>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2019</w:t>
            </w:r>
          </w:p>
        </w:tc>
        <w:tc>
          <w:tcPr>
            <w:tcW w:w="2740"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n.a.</w:t>
            </w:r>
          </w:p>
        </w:tc>
        <w:tc>
          <w:tcPr>
            <w:tcW w:w="2509" w:type="dxa"/>
            <w:tcBorders>
              <w:top w:val="single" w:sz="4" w:space="0" w:color="auto"/>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n.a.</w:t>
            </w:r>
          </w:p>
        </w:tc>
        <w:tc>
          <w:tcPr>
            <w:tcW w:w="2618" w:type="dxa"/>
            <w:tcBorders>
              <w:top w:val="single" w:sz="4" w:space="0" w:color="auto"/>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n.a.</w:t>
            </w:r>
          </w:p>
        </w:tc>
      </w:tr>
      <w:tr w:rsidR="00795A46" w:rsidTr="00795A46">
        <w:trPr>
          <w:trHeight w:val="300"/>
        </w:trPr>
        <w:tc>
          <w:tcPr>
            <w:tcW w:w="1120" w:type="dxa"/>
            <w:tcBorders>
              <w:top w:val="single" w:sz="4" w:space="0" w:color="auto"/>
              <w:left w:val="single" w:sz="4" w:space="0" w:color="auto"/>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2020</w:t>
            </w:r>
          </w:p>
        </w:tc>
        <w:tc>
          <w:tcPr>
            <w:tcW w:w="2740"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n.a.</w:t>
            </w:r>
          </w:p>
        </w:tc>
        <w:tc>
          <w:tcPr>
            <w:tcW w:w="2509" w:type="dxa"/>
            <w:tcBorders>
              <w:top w:val="single" w:sz="4" w:space="0" w:color="auto"/>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n.a.</w:t>
            </w:r>
          </w:p>
        </w:tc>
        <w:tc>
          <w:tcPr>
            <w:tcW w:w="2618" w:type="dxa"/>
            <w:tcBorders>
              <w:top w:val="single" w:sz="4" w:space="0" w:color="auto"/>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n.a.</w:t>
            </w:r>
          </w:p>
        </w:tc>
      </w:tr>
    </w:tbl>
    <w:p w:rsidR="00795A46" w:rsidRDefault="00795A46" w:rsidP="00795A46">
      <w:pPr>
        <w:jc w:val="left"/>
        <w:rPr>
          <w:rFonts w:ascii="Times New Roman" w:hAnsi="Times New Roman"/>
          <w:sz w:val="20"/>
          <w:szCs w:val="20"/>
        </w:rPr>
      </w:pPr>
      <w:r>
        <w:rPr>
          <w:rFonts w:ascii="Times New Roman" w:hAnsi="Times New Roman"/>
          <w:sz w:val="20"/>
          <w:szCs w:val="20"/>
        </w:rPr>
        <w:t>Forrás: TeIR, KSH Tstar, helyi adatszolgáltatók.</w:t>
      </w:r>
    </w:p>
    <w:p w:rsidR="00795A46" w:rsidRDefault="00795A46" w:rsidP="00795A46">
      <w:pPr>
        <w:autoSpaceDE w:val="0"/>
        <w:spacing w:after="20"/>
        <w:ind w:firstLine="142"/>
        <w:rPr>
          <w:rFonts w:ascii="Times New Roman" w:hAnsi="Times New Roman"/>
          <w:b/>
          <w:sz w:val="20"/>
          <w:szCs w:val="20"/>
        </w:rPr>
      </w:pPr>
    </w:p>
    <w:p w:rsidR="00795A46" w:rsidRDefault="00795A46" w:rsidP="00795A46">
      <w:pPr>
        <w:autoSpaceDE w:val="0"/>
        <w:spacing w:after="20"/>
        <w:rPr>
          <w:rFonts w:ascii="Times New Roman" w:hAnsi="Times New Roman"/>
          <w:color w:val="000000"/>
          <w:sz w:val="24"/>
        </w:rPr>
      </w:pPr>
      <w:r>
        <w:rPr>
          <w:rFonts w:ascii="Times New Roman" w:hAnsi="Times New Roman"/>
          <w:color w:val="000000"/>
          <w:sz w:val="24"/>
        </w:rPr>
        <w:t>A fogyatékkal élők számára helyben bentlakásos intézmények vannak. Nappali ellátást nyújtó intézmény Orosházán és Békéscsabán érhető el.</w:t>
      </w:r>
    </w:p>
    <w:p w:rsidR="00795A46" w:rsidRDefault="00795A46" w:rsidP="00795A46">
      <w:pPr>
        <w:rPr>
          <w:rFonts w:ascii="Times New Roman" w:hAnsi="Times New Roman"/>
        </w:rPr>
      </w:pPr>
    </w:p>
    <w:p w:rsidR="00795A46" w:rsidRDefault="00795A46" w:rsidP="00795A46">
      <w:pPr>
        <w:rPr>
          <w:rFonts w:ascii="Times New Roman" w:hAnsi="Times New Roman"/>
        </w:rPr>
      </w:pPr>
    </w:p>
    <w:p w:rsidR="00795A46" w:rsidRDefault="00795A46" w:rsidP="00795A46">
      <w:pPr>
        <w:autoSpaceDE w:val="0"/>
        <w:spacing w:after="20"/>
        <w:ind w:firstLine="142"/>
        <w:rPr>
          <w:rFonts w:ascii="Times New Roman" w:hAnsi="Times New Roman"/>
          <w:b/>
          <w:sz w:val="24"/>
        </w:rPr>
      </w:pPr>
      <w:r>
        <w:rPr>
          <w:rFonts w:ascii="Times New Roman" w:hAnsi="Times New Roman"/>
          <w:b/>
          <w:sz w:val="24"/>
        </w:rPr>
        <w:t>7.1 A településen fogyatékossággal élő személyek főbb jellemzői, sajátos problémái</w:t>
      </w:r>
    </w:p>
    <w:p w:rsidR="00795A46" w:rsidRDefault="00795A46" w:rsidP="00795A46">
      <w:pPr>
        <w:keepNext/>
        <w:tabs>
          <w:tab w:val="left" w:pos="2580"/>
        </w:tabs>
        <w:rPr>
          <w:rFonts w:ascii="Times New Roman" w:hAnsi="Times New Roman"/>
          <w:bCs/>
          <w:iCs/>
          <w:sz w:val="24"/>
        </w:rPr>
      </w:pPr>
    </w:p>
    <w:p w:rsidR="00795A46" w:rsidRDefault="00795A46" w:rsidP="00795A46">
      <w:pPr>
        <w:numPr>
          <w:ilvl w:val="0"/>
          <w:numId w:val="26"/>
        </w:numPr>
        <w:autoSpaceDE w:val="0"/>
        <w:ind w:left="426" w:hanging="426"/>
        <w:rPr>
          <w:rFonts w:ascii="Times New Roman" w:hAnsi="Times New Roman"/>
          <w:b/>
          <w:sz w:val="24"/>
        </w:rPr>
      </w:pPr>
      <w:r>
        <w:rPr>
          <w:rFonts w:ascii="Times New Roman" w:hAnsi="Times New Roman"/>
          <w:b/>
          <w:sz w:val="24"/>
        </w:rPr>
        <w:t>fogyatékossággal élő személyek foglalkoztatásának lehetőségei, foglalkoztatottsága, védett foglalkoztatás, közfoglalkoztatás</w:t>
      </w:r>
    </w:p>
    <w:p w:rsidR="00795A46" w:rsidRDefault="00795A46" w:rsidP="00795A46">
      <w:pPr>
        <w:ind w:left="360"/>
        <w:rPr>
          <w:rFonts w:ascii="Times New Roman" w:hAnsi="Times New Roman"/>
        </w:rPr>
      </w:pPr>
    </w:p>
    <w:p w:rsidR="00795A46" w:rsidRDefault="00795A46" w:rsidP="0018452E">
      <w:pPr>
        <w:autoSpaceDE w:val="0"/>
        <w:rPr>
          <w:rFonts w:ascii="Times New Roman" w:hAnsi="Times New Roman"/>
          <w:sz w:val="24"/>
        </w:rPr>
      </w:pPr>
      <w:r>
        <w:rPr>
          <w:rFonts w:ascii="Times New Roman" w:hAnsi="Times New Roman"/>
          <w:sz w:val="24"/>
        </w:rPr>
        <w:t xml:space="preserve">A </w:t>
      </w:r>
      <w:r w:rsidRPr="0018452E">
        <w:rPr>
          <w:rFonts w:ascii="Times New Roman" w:hAnsi="Times New Roman"/>
          <w:sz w:val="24"/>
        </w:rPr>
        <w:t xml:space="preserve">fogyatékos személyek jogairól és esélyegyenlőségük biztosításáról szóló 1998. évi XXVI. törvény (Fot.tv.) 15-16. §-a </w:t>
      </w:r>
      <w:r>
        <w:rPr>
          <w:rFonts w:ascii="Times New Roman" w:hAnsi="Times New Roman"/>
          <w:sz w:val="24"/>
        </w:rPr>
        <w:t>értelmében a fogyatékossággal élő személy lehetőség szerint integrált, ennek hiányában védett foglalkoztatásra jogosult.</w:t>
      </w:r>
    </w:p>
    <w:p w:rsidR="00795A46" w:rsidRDefault="00795A46" w:rsidP="00795A46">
      <w:pPr>
        <w:autoSpaceDE w:val="0"/>
        <w:rPr>
          <w:rFonts w:ascii="Times New Roman" w:hAnsi="Times New Roman"/>
          <w:sz w:val="24"/>
        </w:rPr>
      </w:pPr>
      <w:r>
        <w:rPr>
          <w:rFonts w:ascii="Times New Roman" w:hAnsi="Times New Roman"/>
          <w:sz w:val="24"/>
        </w:rPr>
        <w:t>A foglalkoztatást biztosító munkáltató köteles biztosítani a munkavégzéshez szükséges mértékben a munkahelyi környezet, így különösen a munkaeszközök, berendezések megfelelő átalakítását. Az átalakítással kapcsolatos költségek fedezésére a központi költségvetésből támogatás igényelhető.</w:t>
      </w:r>
    </w:p>
    <w:p w:rsidR="00795A46" w:rsidRDefault="00795A46" w:rsidP="00795A46">
      <w:pPr>
        <w:autoSpaceDE w:val="0"/>
        <w:rPr>
          <w:rFonts w:ascii="Times New Roman" w:hAnsi="Times New Roman"/>
          <w:sz w:val="24"/>
        </w:rPr>
      </w:pPr>
      <w:r>
        <w:rPr>
          <w:rFonts w:ascii="Times New Roman" w:hAnsi="Times New Roman"/>
          <w:sz w:val="24"/>
        </w:rPr>
        <w:t xml:space="preserve">Ha a fogyatékossággal élő személy foglalkoztatása az integrált foglalkoztatás keretében nem megvalósítható, úgy számára speciális munkahelyek működtetésével a munkához való jogát lehetőség szerint biztosítani kell. A védett munkahelyet a központi költségvetés normatív támogatásban részesíti. </w:t>
      </w:r>
    </w:p>
    <w:p w:rsidR="00795A46" w:rsidRDefault="00795A46" w:rsidP="00795A46">
      <w:pPr>
        <w:rPr>
          <w:rFonts w:ascii="Times New Roman" w:hAnsi="Times New Roman"/>
          <w:sz w:val="24"/>
        </w:rPr>
      </w:pPr>
      <w:r>
        <w:rPr>
          <w:rFonts w:ascii="Times New Roman" w:hAnsi="Times New Roman"/>
          <w:sz w:val="24"/>
        </w:rPr>
        <w:t>Az a személy nevezhető fogyatékossággal élő munkavállalónak, akit a jogszabályi rendelkezések szerint fogyatékossággal élőként elismert egyén, vagy elismerten fizikai, elmebeli vagy pszichológiai károsodásban szenvedő munkavállaló.</w:t>
      </w:r>
    </w:p>
    <w:p w:rsidR="00795A46" w:rsidRDefault="00795A46" w:rsidP="00795A46">
      <w:pPr>
        <w:rPr>
          <w:rFonts w:ascii="Times New Roman" w:hAnsi="Times New Roman"/>
          <w:sz w:val="24"/>
        </w:rPr>
      </w:pPr>
      <w:r>
        <w:rPr>
          <w:rFonts w:ascii="Times New Roman" w:hAnsi="Times New Roman"/>
          <w:sz w:val="24"/>
        </w:rPr>
        <w:t>A települési önkormányzat által szervezett közfoglalkoztatási programokban olyan megváltozott munkaképességű munkavállaló juthat munkához, aki a közmunkaprogramba való felvétele előtt a Járási Hivatal Foglalkoztatási Osztályán nyilatkozik a számára folyósított, megváltozott munkaképességű személyeket megillető ellátásról, és arról, hogy a rehabilitációs célú közfoglalkoztatásba bevonható-e a rokkantsága fokának megfelelő kategóriába sorolás alapján. Az elmúlt tíz év közfoglalkoztatási gyakorlata azt mutatja, hogy eddig már több megváltozott munkaképességű személynek tudtunk munkát biztosítani, bár a rokkantságuk foka alapján történő nyilvántartásuk nem lehetséges.</w:t>
      </w:r>
    </w:p>
    <w:p w:rsidR="00795A46" w:rsidRDefault="00795A46" w:rsidP="00795A46">
      <w:pPr>
        <w:rPr>
          <w:rFonts w:ascii="Times New Roman" w:hAnsi="Times New Roman"/>
          <w:sz w:val="24"/>
        </w:rPr>
      </w:pPr>
    </w:p>
    <w:p w:rsidR="00795A46" w:rsidRDefault="00795A46" w:rsidP="00795A46">
      <w:pPr>
        <w:numPr>
          <w:ilvl w:val="0"/>
          <w:numId w:val="26"/>
        </w:numPr>
        <w:rPr>
          <w:rFonts w:ascii="Times New Roman" w:hAnsi="Times New Roman"/>
          <w:b/>
          <w:sz w:val="24"/>
        </w:rPr>
      </w:pPr>
      <w:r>
        <w:rPr>
          <w:rFonts w:ascii="Times New Roman" w:hAnsi="Times New Roman"/>
          <w:b/>
          <w:sz w:val="24"/>
        </w:rPr>
        <w:t>munkavállalást segítő lehetőségek</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Gyakori probléma, hogy kevés a foglalkoztatási lehetőség, nem megoldott a foglalkoztatáshoz szükséges akadálymentesítés, nem biztosítottak a különleges eszközök és feltételek. </w:t>
      </w:r>
    </w:p>
    <w:p w:rsidR="00795A46" w:rsidRDefault="00795A46" w:rsidP="00795A46">
      <w:pPr>
        <w:rPr>
          <w:rFonts w:ascii="Times New Roman" w:hAnsi="Times New Roman"/>
          <w:sz w:val="24"/>
        </w:rPr>
      </w:pPr>
      <w:r>
        <w:rPr>
          <w:rFonts w:ascii="Times New Roman" w:hAnsi="Times New Roman"/>
          <w:sz w:val="24"/>
        </w:rPr>
        <w:t>A védett foglalkoztatás túlsúlya mutatkozik az integrált foglalkoztatással szemben. Probléma továbbá, ha nem áll rendelkezésre olyan foglalkoztatási szakember, aki a fogyatékos személy állapotának ismeretében javaslatot tesz a foglalkoztatás jellegére és helyére. Amennyiben nincs képzett szakember, aki a munkahelyi beszoktatást kísérje, úgy sikertelen lehet a beszoktatás, amelynek</w:t>
      </w:r>
      <w:r>
        <w:rPr>
          <w:rFonts w:ascii="Times New Roman" w:hAnsi="Times New Roman"/>
          <w:i/>
          <w:sz w:val="24"/>
        </w:rPr>
        <w:t xml:space="preserve"> </w:t>
      </w:r>
      <w:r>
        <w:rPr>
          <w:rFonts w:ascii="Times New Roman" w:hAnsi="Times New Roman"/>
          <w:sz w:val="24"/>
        </w:rPr>
        <w:t xml:space="preserve">következménye a fogyatékos munkavállaló alkalmatlanságának rövid időn belüli megállapítása. Mindezekre tekintettel javasolt folyamatosan felkutatni a fogyatékos munkavállalókkal is betölthető álláshelyeket, és fogyatékosügyi mentor, tanácsadó foglalkoztatásával a fogyatékos személyek elhelyezkedését biztosítani. Javasolt önkormányzati szakember ez irányú képzése, állami és civil munkaerőpiaci szolgáltató szervezet bevonása a feladat megoldásába. </w:t>
      </w:r>
    </w:p>
    <w:p w:rsidR="00795A46" w:rsidRDefault="00795A46" w:rsidP="00795A46">
      <w:pPr>
        <w:rPr>
          <w:rFonts w:ascii="Times New Roman" w:hAnsi="Times New Roman"/>
        </w:rPr>
      </w:pPr>
    </w:p>
    <w:p w:rsidR="00795A46" w:rsidRDefault="00795A46" w:rsidP="00795A46">
      <w:pPr>
        <w:rPr>
          <w:rFonts w:ascii="Times New Roman" w:hAnsi="Times New Roman"/>
          <w:sz w:val="24"/>
        </w:rPr>
      </w:pPr>
      <w:r>
        <w:rPr>
          <w:rFonts w:ascii="Times New Roman" w:hAnsi="Times New Roman"/>
          <w:sz w:val="24"/>
        </w:rPr>
        <w:t>Nem rendelkezünk adattal arról, hogy a településen lévő gazdasági vállalkozások alkalmaznak-e, illetve milyen mértékben alkalmaznak fogyatékossággal élő személyt. A városban 15-20 csökkent vagy megváltozott munkaképességű személynek ad munkát az Összefogás az Egyenlő Esélyekért Nonprofit Közhasznú Kft. napi 4-6 órában. A dolgozók általában nyomdaipari termékeket dolgoznak fel, hajtogatnak, s viszonylag jó fizikai állapotban vannak, képesek önállóan eljárni munkahelyükre. Amellett, hogy anyagi helyzetük javítását szolgálja a foglalkoztatóban megkeresett jövedelem, nagyban hozzájárul gyógyulásuk, és mentális állapotuk javulásához az a tény, hogy a társadalomnak szüksége van rájuk, valamint az, hogy nem magányosak, mivel hasonló problémával küzdő emberek között vannak. A foglalkoztató fenntartását állami támogatásból fedezik, de számos igényük nincs kielégítve, pl. az épület és a nyílászárók állaga, mosdók akadálymentesítése, fűtés korszerűsítése még várat magára.</w:t>
      </w:r>
    </w:p>
    <w:p w:rsidR="00795A46" w:rsidRDefault="00795A46" w:rsidP="00795A46">
      <w:pPr>
        <w:rPr>
          <w:rFonts w:ascii="Times New Roman" w:hAnsi="Times New Roman"/>
        </w:rPr>
      </w:pPr>
    </w:p>
    <w:p w:rsidR="00795A46" w:rsidRDefault="00795A46" w:rsidP="00795A46">
      <w:pPr>
        <w:autoSpaceDE w:val="0"/>
        <w:spacing w:after="20"/>
        <w:ind w:firstLine="142"/>
        <w:rPr>
          <w:rFonts w:ascii="Times New Roman" w:hAnsi="Times New Roman"/>
          <w:b/>
          <w:iCs/>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iCs/>
          <w:sz w:val="24"/>
        </w:rPr>
        <w:t>c)</w:t>
      </w:r>
      <w:r>
        <w:rPr>
          <w:rFonts w:ascii="Times New Roman" w:hAnsi="Times New Roman"/>
          <w:b/>
          <w:sz w:val="24"/>
        </w:rPr>
        <w:t xml:space="preserve"> hátrányos megkülönböztetés a foglalkoztatás területén</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Nincs adatunk ilyen esetről.</w:t>
      </w:r>
    </w:p>
    <w:p w:rsidR="00795A46" w:rsidRDefault="00795A46" w:rsidP="00795A46">
      <w:pPr>
        <w:rPr>
          <w:rFonts w:ascii="Times New Roman" w:hAnsi="Times New Roman"/>
          <w:sz w:val="24"/>
        </w:rPr>
      </w:pPr>
    </w:p>
    <w:p w:rsidR="00795A46" w:rsidRDefault="00795A46" w:rsidP="00795A46">
      <w:pPr>
        <w:autoSpaceDE w:val="0"/>
        <w:spacing w:after="20"/>
        <w:ind w:firstLine="142"/>
        <w:rPr>
          <w:rFonts w:ascii="Times New Roman" w:hAnsi="Times New Roman"/>
          <w:i/>
          <w:iCs/>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iCs/>
          <w:sz w:val="24"/>
        </w:rPr>
        <w:t>d)</w:t>
      </w:r>
      <w:r>
        <w:rPr>
          <w:rFonts w:ascii="Times New Roman" w:hAnsi="Times New Roman"/>
          <w:b/>
          <w:sz w:val="24"/>
        </w:rPr>
        <w:t xml:space="preserve"> önálló életvitelt támogató helyi intézmények, szolgáltatások, programok</w:t>
      </w:r>
    </w:p>
    <w:p w:rsidR="00795A46" w:rsidRDefault="00795A46" w:rsidP="00795A46">
      <w:pPr>
        <w:keepNext/>
        <w:tabs>
          <w:tab w:val="left" w:pos="2580"/>
        </w:tabs>
        <w:rPr>
          <w:rFonts w:ascii="Times New Roman" w:hAnsi="Times New Roman"/>
          <w:bCs/>
          <w:iCs/>
          <w:sz w:val="24"/>
        </w:rPr>
      </w:pPr>
    </w:p>
    <w:p w:rsidR="00795A46" w:rsidRDefault="00795A46" w:rsidP="00795A46">
      <w:pPr>
        <w:autoSpaceDE w:val="0"/>
        <w:rPr>
          <w:rFonts w:ascii="Times New Roman" w:hAnsi="Times New Roman"/>
          <w:sz w:val="24"/>
        </w:rPr>
      </w:pPr>
      <w:r>
        <w:rPr>
          <w:rFonts w:ascii="Times New Roman" w:hAnsi="Times New Roman"/>
          <w:sz w:val="24"/>
        </w:rPr>
        <w:t xml:space="preserve">A saját lakókörnyezetben, lakóotthonban élő fogyatékos személyeknek nyújt alapszolgáltatást a Csillagház épületében működő Támogató Szolgálat. A támogató szolgálat többek között a különböző közösségi és szabadidős szolgáltatások elérésében (mind szállítás, mind kommunikáció szintjén) ad támogatást, emellett az igénybe vevő környezetében, lakásán nyújt fejlesztést, gondozást, segíti az önálló életvitelt, támogatja az ön-érdekérvényesítést. </w:t>
      </w:r>
    </w:p>
    <w:p w:rsidR="00795A46" w:rsidRDefault="00795A46" w:rsidP="00795A46">
      <w:pPr>
        <w:autoSpaceDE w:val="0"/>
        <w:jc w:val="left"/>
        <w:rPr>
          <w:rFonts w:ascii="Times New Roman" w:hAnsi="Times New Roman"/>
          <w:sz w:val="24"/>
        </w:rPr>
      </w:pPr>
    </w:p>
    <w:p w:rsidR="00795A46" w:rsidRDefault="00795A46" w:rsidP="00795A46">
      <w:pPr>
        <w:autoSpaceDE w:val="0"/>
        <w:rPr>
          <w:rFonts w:ascii="Times New Roman" w:hAnsi="Times New Roman"/>
          <w:sz w:val="24"/>
        </w:rPr>
      </w:pPr>
      <w:r>
        <w:rPr>
          <w:rFonts w:ascii="Times New Roman" w:hAnsi="Times New Roman"/>
          <w:sz w:val="24"/>
        </w:rPr>
        <w:t>A személyes szociális gondoskodási ellátások közül nappali ellátás (klub, fejlesztő napközi otthon stb.) a saját lakókörnyezetben élő fogyatékos személyeknek napközben nyújt fejlesztést, étkezést, segít az önálló életvitelben és a társadalmi szerepek gyakorlásában.</w:t>
      </w:r>
    </w:p>
    <w:p w:rsidR="00795A46" w:rsidRDefault="00795A46" w:rsidP="00795A46">
      <w:pPr>
        <w:autoSpaceDE w:val="0"/>
        <w:jc w:val="left"/>
        <w:rPr>
          <w:rFonts w:ascii="Times New Roman" w:hAnsi="Times New Roman"/>
          <w:i/>
          <w:sz w:val="24"/>
        </w:rPr>
      </w:pPr>
    </w:p>
    <w:p w:rsidR="00795A46" w:rsidRDefault="00795A46" w:rsidP="00795A46">
      <w:pPr>
        <w:rPr>
          <w:rFonts w:ascii="Times New Roman" w:hAnsi="Times New Roman"/>
          <w:bCs/>
          <w:color w:val="000000" w:themeColor="text1"/>
          <w:sz w:val="24"/>
          <w:szCs w:val="20"/>
        </w:rPr>
      </w:pPr>
      <w:r>
        <w:rPr>
          <w:rFonts w:ascii="Times New Roman" w:hAnsi="Times New Roman"/>
          <w:sz w:val="24"/>
          <w:szCs w:val="20"/>
        </w:rPr>
        <w:t xml:space="preserve">Az önálló életvitelt támogató intézmény Csorváson az előzőekben ismertetett a Mozgáskorlátozottak Békés Megyei Egyesülete – Csillagház Szociális Szolgáltató Központ, Lakóotthon és Integrált Támogató Szolgálat, valamint ilyen irányú segítséget nyújt a Békéscsabai Humán Szolgáltató Központ Csorváson működő csoportja. A Misszió a gondozásra szoruló részére saját lakásában, lakókörnyezetében nyújt szolgáltatást úgy, hogy az </w:t>
      </w:r>
      <w:r>
        <w:rPr>
          <w:rFonts w:ascii="Times New Roman" w:hAnsi="Times New Roman"/>
          <w:bCs/>
          <w:sz w:val="24"/>
          <w:szCs w:val="20"/>
        </w:rPr>
        <w:t xml:space="preserve">ellátást igénybe vevő fizikai, mentális, szociális szükséglete saját környezetében, életkorának, élethelyzetének és egészségi állapotának megfelelően, meglévő képességeinek </w:t>
      </w:r>
      <w:r>
        <w:rPr>
          <w:rFonts w:ascii="Times New Roman" w:hAnsi="Times New Roman"/>
          <w:bCs/>
          <w:color w:val="000000" w:themeColor="text1"/>
          <w:sz w:val="24"/>
          <w:szCs w:val="20"/>
        </w:rPr>
        <w:t>fenntartásával, felhasználásával, fejlesztésével biztosított legyen.</w:t>
      </w:r>
    </w:p>
    <w:p w:rsidR="00795A46" w:rsidRDefault="00795A46" w:rsidP="00795A46">
      <w:pPr>
        <w:rPr>
          <w:rFonts w:ascii="Times New Roman" w:hAnsi="Times New Roman"/>
          <w:color w:val="000000" w:themeColor="text1"/>
          <w:sz w:val="20"/>
          <w:szCs w:val="20"/>
        </w:rPr>
      </w:pPr>
    </w:p>
    <w:p w:rsidR="00795A46" w:rsidRDefault="00795A46" w:rsidP="00795A46">
      <w:pPr>
        <w:rPr>
          <w:rFonts w:ascii="Times New Roman" w:hAnsi="Times New Roman"/>
          <w:color w:val="000000" w:themeColor="text1"/>
          <w:sz w:val="20"/>
          <w:szCs w:val="20"/>
        </w:rPr>
      </w:pPr>
    </w:p>
    <w:p w:rsidR="00795A46" w:rsidRDefault="00795A46" w:rsidP="00795A46">
      <w:pPr>
        <w:autoSpaceDE w:val="0"/>
        <w:spacing w:after="20"/>
        <w:ind w:firstLine="142"/>
        <w:rPr>
          <w:rFonts w:ascii="Times New Roman" w:hAnsi="Times New Roman"/>
          <w:b/>
          <w:color w:val="000000" w:themeColor="text1"/>
          <w:sz w:val="24"/>
        </w:rPr>
      </w:pPr>
      <w:r>
        <w:rPr>
          <w:rFonts w:ascii="Times New Roman" w:hAnsi="Times New Roman"/>
          <w:b/>
          <w:color w:val="000000" w:themeColor="text1"/>
          <w:sz w:val="24"/>
        </w:rPr>
        <w:t>7.2 Fogyatékkal élő személyek pénzbeli és természetbeni ellátása, kedvezményei</w:t>
      </w:r>
    </w:p>
    <w:p w:rsidR="00795A46" w:rsidRDefault="00795A46" w:rsidP="00795A46">
      <w:pPr>
        <w:keepNext/>
        <w:tabs>
          <w:tab w:val="left" w:pos="2580"/>
        </w:tabs>
        <w:rPr>
          <w:rFonts w:ascii="Times New Roman" w:hAnsi="Times New Roman"/>
          <w:bCs/>
          <w:iCs/>
          <w:color w:val="000000" w:themeColor="text1"/>
          <w:sz w:val="24"/>
        </w:rPr>
      </w:pPr>
    </w:p>
    <w:p w:rsidR="00795A46" w:rsidRDefault="00795A46" w:rsidP="00795A46">
      <w:pPr>
        <w:autoSpaceDE w:val="0"/>
        <w:spacing w:after="20"/>
        <w:rPr>
          <w:rFonts w:ascii="Times New Roman" w:hAnsi="Times New Roman"/>
          <w:color w:val="000000" w:themeColor="text1"/>
          <w:sz w:val="24"/>
        </w:rPr>
      </w:pPr>
      <w:r>
        <w:rPr>
          <w:rFonts w:ascii="Times New Roman" w:hAnsi="Times New Roman"/>
          <w:color w:val="000000" w:themeColor="text1"/>
          <w:sz w:val="24"/>
        </w:rPr>
        <w:t>Az alábbiakban felsoroljuk és röviden ismertetjük azokat az ellátási formákat, amelyeket jogszabályok biztosítanak a fogyatékkal élő személyek számára. Az ezekhez való hozzáférés helyi vizsgálata az esélyegyenlőségi helyzetelemzés egyik feladata.</w:t>
      </w:r>
    </w:p>
    <w:p w:rsidR="00795A46" w:rsidRDefault="00795A46" w:rsidP="00795A46">
      <w:pPr>
        <w:rPr>
          <w:rFonts w:ascii="Times New Roman" w:hAnsi="Times New Roman"/>
          <w:color w:val="000000" w:themeColor="text1"/>
          <w:sz w:val="24"/>
        </w:rPr>
      </w:pPr>
      <w:r>
        <w:rPr>
          <w:rFonts w:ascii="Times New Roman" w:hAnsi="Times New Roman"/>
          <w:color w:val="000000" w:themeColor="text1"/>
          <w:sz w:val="24"/>
        </w:rPr>
        <w:t xml:space="preserve">Lehetséges, hogy a fogyatékos személy megfelelő információk hiányában nem részesül a számára jogszabály szerint járó pénzbeli és természetbeni ellátásban. </w:t>
      </w:r>
    </w:p>
    <w:p w:rsidR="00795A46" w:rsidRDefault="00795A46" w:rsidP="00795A46">
      <w:pPr>
        <w:keepNext/>
        <w:tabs>
          <w:tab w:val="left" w:pos="2580"/>
        </w:tabs>
        <w:rPr>
          <w:rFonts w:ascii="Times New Roman" w:hAnsi="Times New Roman"/>
          <w:bCs/>
          <w:iCs/>
          <w:color w:val="000000" w:themeColor="text1"/>
          <w:sz w:val="24"/>
        </w:rPr>
      </w:pPr>
    </w:p>
    <w:p w:rsidR="00795A46" w:rsidRDefault="00795A46" w:rsidP="00795A46">
      <w:pPr>
        <w:autoSpaceDE w:val="0"/>
        <w:spacing w:after="20"/>
        <w:ind w:left="360"/>
        <w:rPr>
          <w:rFonts w:ascii="Times New Roman" w:hAnsi="Times New Roman"/>
          <w:color w:val="000000" w:themeColor="text1"/>
          <w:sz w:val="24"/>
        </w:rPr>
      </w:pPr>
      <w:r>
        <w:rPr>
          <w:rFonts w:ascii="Times New Roman" w:hAnsi="Times New Roman"/>
          <w:color w:val="000000" w:themeColor="text1"/>
          <w:sz w:val="24"/>
        </w:rPr>
        <w:t>Ellátási formák:</w:t>
      </w:r>
    </w:p>
    <w:p w:rsidR="00795A46" w:rsidRDefault="00795A46" w:rsidP="00795A46">
      <w:pPr>
        <w:autoSpaceDE w:val="0"/>
        <w:spacing w:after="20"/>
        <w:ind w:left="360"/>
        <w:rPr>
          <w:rFonts w:ascii="Times New Roman" w:hAnsi="Times New Roman"/>
          <w:color w:val="000000" w:themeColor="text1"/>
          <w:sz w:val="24"/>
        </w:rPr>
      </w:pPr>
    </w:p>
    <w:p w:rsidR="00795A46" w:rsidRDefault="00795A46" w:rsidP="00795A46">
      <w:pPr>
        <w:numPr>
          <w:ilvl w:val="0"/>
          <w:numId w:val="27"/>
        </w:numPr>
        <w:autoSpaceDE w:val="0"/>
        <w:spacing w:after="20"/>
        <w:rPr>
          <w:rFonts w:ascii="Times New Roman" w:hAnsi="Times New Roman"/>
          <w:color w:val="000000" w:themeColor="text1"/>
          <w:sz w:val="24"/>
        </w:rPr>
      </w:pPr>
      <w:r>
        <w:rPr>
          <w:rFonts w:ascii="Times New Roman" w:hAnsi="Times New Roman"/>
          <w:color w:val="000000" w:themeColor="text1"/>
          <w:sz w:val="24"/>
        </w:rPr>
        <w:t>Fogyatékossági támogatás: A fogyatékos személyek jogairól és esélyegyenlőségük biztosításáról</w:t>
      </w:r>
      <w:r>
        <w:rPr>
          <w:rFonts w:ascii="Times New Roman" w:hAnsi="Times New Roman"/>
          <w:color w:val="000000" w:themeColor="text1"/>
        </w:rPr>
        <w:t xml:space="preserve"> </w:t>
      </w:r>
      <w:r>
        <w:rPr>
          <w:rFonts w:ascii="Times New Roman" w:hAnsi="Times New Roman"/>
          <w:color w:val="000000" w:themeColor="text1"/>
          <w:sz w:val="24"/>
        </w:rPr>
        <w:t>szóló 1998. évi XXVI. törvény 22. §-a alapján biztosított fogyatékossági támogatás a súlyosan fogyatékos személy részére az esélyegyenlőséget elősegítő, havi rendszerességgel járó</w:t>
      </w:r>
      <w:r>
        <w:rPr>
          <w:rFonts w:ascii="Times New Roman" w:hAnsi="Times New Roman"/>
          <w:bCs/>
          <w:color w:val="000000" w:themeColor="text1"/>
          <w:sz w:val="24"/>
        </w:rPr>
        <w:t xml:space="preserve"> pénzbeli juttatás</w:t>
      </w:r>
      <w:r>
        <w:rPr>
          <w:rFonts w:ascii="Times New Roman" w:hAnsi="Times New Roman"/>
          <w:color w:val="000000" w:themeColor="text1"/>
          <w:sz w:val="24"/>
        </w:rPr>
        <w:t>. A támogatás célja, hogy - a súlyosan fogyatékos személy jövedelmétől függetlenül - anyagi segítséggel járuljon hozzá a súlyosan fogyatékos állapotból eredő társadalmi hátrányok mérsékléséhez.</w:t>
      </w:r>
    </w:p>
    <w:p w:rsidR="00795A46" w:rsidRDefault="00795A46" w:rsidP="00795A46">
      <w:pPr>
        <w:rPr>
          <w:rFonts w:ascii="Times New Roman" w:hAnsi="Times New Roman"/>
          <w:color w:val="000000" w:themeColor="text1"/>
          <w:sz w:val="24"/>
        </w:rPr>
      </w:pPr>
    </w:p>
    <w:p w:rsidR="00795A46" w:rsidRDefault="00795A46" w:rsidP="00795A46">
      <w:pPr>
        <w:numPr>
          <w:ilvl w:val="0"/>
          <w:numId w:val="27"/>
        </w:numPr>
        <w:autoSpaceDE w:val="0"/>
        <w:spacing w:after="20"/>
        <w:rPr>
          <w:rFonts w:ascii="Times New Roman" w:hAnsi="Times New Roman"/>
          <w:color w:val="000000" w:themeColor="text1"/>
          <w:sz w:val="24"/>
        </w:rPr>
      </w:pPr>
      <w:r>
        <w:rPr>
          <w:rFonts w:ascii="Times New Roman" w:hAnsi="Times New Roman"/>
          <w:color w:val="000000" w:themeColor="text1"/>
          <w:sz w:val="24"/>
        </w:rPr>
        <w:t>Rokkantsági járadék: A rokkantsági járadékról szóló 83/1987. (XII. 27.) MT rendelet értelmében rokkantsági járadékra jogosult az a személy, akinek a 25. életéve betöltése előtt keletkezett egészségkárosodása legalább 70%-os mértékű, és nyugellátásban, baleseti nyugellátásban vagy megváltozott munkaképességű személyek ellátásában nem részesül.</w:t>
      </w:r>
    </w:p>
    <w:p w:rsidR="00795A46" w:rsidRDefault="00795A46" w:rsidP="00795A46">
      <w:pPr>
        <w:rPr>
          <w:rFonts w:ascii="Times New Roman" w:hAnsi="Times New Roman"/>
          <w:color w:val="000000" w:themeColor="text1"/>
          <w:sz w:val="24"/>
        </w:rPr>
      </w:pPr>
    </w:p>
    <w:p w:rsidR="00795A46" w:rsidRDefault="00795A46" w:rsidP="00795A46">
      <w:pPr>
        <w:numPr>
          <w:ilvl w:val="0"/>
          <w:numId w:val="27"/>
        </w:numPr>
        <w:autoSpaceDE w:val="0"/>
        <w:spacing w:after="20"/>
        <w:rPr>
          <w:rFonts w:ascii="Times New Roman" w:hAnsi="Times New Roman"/>
          <w:color w:val="000000" w:themeColor="text1"/>
          <w:sz w:val="24"/>
        </w:rPr>
      </w:pPr>
      <w:r>
        <w:rPr>
          <w:rFonts w:ascii="Times New Roman" w:hAnsi="Times New Roman"/>
          <w:color w:val="000000" w:themeColor="text1"/>
          <w:sz w:val="24"/>
        </w:rPr>
        <w:t xml:space="preserve">Közlekedési kedvezmény: A súlyos mozgáskorlátozott személyek közlekedési kedvezményeiről szóló 102/2011. (VI. 29.) Korm. rendelet 6. §-a értelmében </w:t>
      </w:r>
      <w:r>
        <w:rPr>
          <w:rFonts w:ascii="Times New Roman" w:hAnsi="Times New Roman"/>
          <w:bCs/>
          <w:color w:val="000000" w:themeColor="text1"/>
          <w:sz w:val="24"/>
        </w:rPr>
        <w:t>szerzési és átalakítási támogatásra</w:t>
      </w:r>
      <w:r>
        <w:rPr>
          <w:rFonts w:ascii="Times New Roman" w:hAnsi="Times New Roman"/>
          <w:color w:val="000000" w:themeColor="text1"/>
          <w:sz w:val="24"/>
        </w:rPr>
        <w:t xml:space="preserve"> (közlekedési kedvezmény) a súlyos mozgáskorlátozott személy jogosult.</w:t>
      </w:r>
    </w:p>
    <w:p w:rsidR="00795A46" w:rsidRDefault="00795A46" w:rsidP="00795A46">
      <w:pPr>
        <w:ind w:left="708"/>
        <w:rPr>
          <w:rFonts w:ascii="Times New Roman" w:hAnsi="Times New Roman"/>
          <w:bCs/>
          <w:color w:val="000000" w:themeColor="text1"/>
          <w:sz w:val="24"/>
        </w:rPr>
      </w:pPr>
    </w:p>
    <w:p w:rsidR="00795A46" w:rsidRDefault="00795A46" w:rsidP="00795A46">
      <w:pPr>
        <w:numPr>
          <w:ilvl w:val="0"/>
          <w:numId w:val="27"/>
        </w:numPr>
        <w:autoSpaceDE w:val="0"/>
        <w:spacing w:after="20"/>
        <w:rPr>
          <w:rFonts w:ascii="Times New Roman" w:hAnsi="Times New Roman"/>
          <w:color w:val="000000" w:themeColor="text1"/>
          <w:sz w:val="24"/>
        </w:rPr>
      </w:pPr>
      <w:r>
        <w:rPr>
          <w:rFonts w:ascii="Times New Roman" w:hAnsi="Times New Roman"/>
          <w:bCs/>
          <w:color w:val="000000" w:themeColor="text1"/>
          <w:sz w:val="24"/>
        </w:rPr>
        <w:t xml:space="preserve">Parkolási igazolvány: </w:t>
      </w:r>
      <w:r>
        <w:rPr>
          <w:rFonts w:ascii="Times New Roman" w:hAnsi="Times New Roman"/>
          <w:color w:val="000000" w:themeColor="text1"/>
          <w:sz w:val="24"/>
          <w:lang w:eastAsia="hu-HU"/>
        </w:rPr>
        <w:t>a mozgásában korlátozott személy parkolási igazolványáról szóló 218/2003. (XII. 11.) Korm. rendelet szerint p</w:t>
      </w:r>
      <w:r>
        <w:rPr>
          <w:rFonts w:ascii="Times New Roman" w:hAnsi="Times New Roman"/>
          <w:bCs/>
          <w:color w:val="000000" w:themeColor="text1"/>
          <w:sz w:val="24"/>
        </w:rPr>
        <w:t>arkolási igazolványra az a személy jogosult</w:t>
      </w:r>
      <w:r>
        <w:rPr>
          <w:rFonts w:ascii="Times New Roman" w:hAnsi="Times New Roman"/>
          <w:color w:val="000000" w:themeColor="text1"/>
          <w:sz w:val="24"/>
        </w:rPr>
        <w:t>,</w:t>
      </w:r>
    </w:p>
    <w:p w:rsidR="00795A46" w:rsidRDefault="00795A46" w:rsidP="00795A46">
      <w:pPr>
        <w:numPr>
          <w:ilvl w:val="0"/>
          <w:numId w:val="28"/>
        </w:numPr>
        <w:tabs>
          <w:tab w:val="left" w:pos="1080"/>
        </w:tabs>
        <w:ind w:left="1080"/>
        <w:rPr>
          <w:rFonts w:ascii="Times New Roman" w:hAnsi="Times New Roman"/>
          <w:color w:val="000000" w:themeColor="text1"/>
          <w:sz w:val="24"/>
        </w:rPr>
      </w:pPr>
      <w:r>
        <w:rPr>
          <w:rFonts w:ascii="Times New Roman" w:hAnsi="Times New Roman"/>
          <w:color w:val="000000" w:themeColor="text1"/>
          <w:sz w:val="24"/>
        </w:rPr>
        <w:t>aki közlekedőképességében súlyosan akadályozott,</w:t>
      </w:r>
    </w:p>
    <w:p w:rsidR="00795A46" w:rsidRDefault="00795A46" w:rsidP="00795A46">
      <w:pPr>
        <w:numPr>
          <w:ilvl w:val="0"/>
          <w:numId w:val="28"/>
        </w:numPr>
        <w:tabs>
          <w:tab w:val="left" w:pos="1080"/>
        </w:tabs>
        <w:ind w:left="1080"/>
        <w:rPr>
          <w:rFonts w:ascii="Times New Roman" w:hAnsi="Times New Roman"/>
          <w:color w:val="000000" w:themeColor="text1"/>
          <w:sz w:val="24"/>
        </w:rPr>
      </w:pPr>
      <w:r>
        <w:rPr>
          <w:rFonts w:ascii="Times New Roman" w:hAnsi="Times New Roman"/>
          <w:color w:val="000000" w:themeColor="text1"/>
          <w:sz w:val="24"/>
        </w:rPr>
        <w:t>aki látási fogyatékosnak; értelmi fogyatékosnak; autistának; mozgásszervi fogyatékosnak minősül,</w:t>
      </w:r>
    </w:p>
    <w:p w:rsidR="00795A46" w:rsidRDefault="00795A46" w:rsidP="00795A46">
      <w:pPr>
        <w:numPr>
          <w:ilvl w:val="0"/>
          <w:numId w:val="28"/>
        </w:numPr>
        <w:tabs>
          <w:tab w:val="left" w:pos="1080"/>
        </w:tabs>
        <w:ind w:left="1080"/>
        <w:rPr>
          <w:rFonts w:ascii="Times New Roman" w:hAnsi="Times New Roman"/>
          <w:color w:val="000000" w:themeColor="text1"/>
          <w:sz w:val="24"/>
        </w:rPr>
      </w:pPr>
      <w:r>
        <w:rPr>
          <w:rFonts w:ascii="Times New Roman" w:hAnsi="Times New Roman"/>
          <w:color w:val="000000" w:themeColor="text1"/>
          <w:sz w:val="24"/>
        </w:rPr>
        <w:t>akit a vakok személyi járadékának bevezetéséről szóló rendelet alapján 2001. július 1-jét megelőzően vaknak minősítettek, vagy aki vaknak vagy gyengénlátónak, mozgásszervi fogyatékosnak, értelmi fogyatékosnak vagy autistának minősül</w:t>
      </w:r>
    </w:p>
    <w:p w:rsidR="00795A46" w:rsidRDefault="00795A46" w:rsidP="00795A46">
      <w:pPr>
        <w:rPr>
          <w:rFonts w:ascii="Times New Roman" w:hAnsi="Times New Roman"/>
          <w:color w:val="000000" w:themeColor="text1"/>
        </w:rPr>
      </w:pPr>
    </w:p>
    <w:p w:rsidR="00795A46" w:rsidRDefault="00795A46" w:rsidP="00795A46">
      <w:pPr>
        <w:numPr>
          <w:ilvl w:val="0"/>
          <w:numId w:val="29"/>
        </w:numPr>
        <w:autoSpaceDE w:val="0"/>
        <w:spacing w:after="20"/>
        <w:rPr>
          <w:rFonts w:ascii="Times New Roman" w:hAnsi="Times New Roman"/>
          <w:color w:val="000000" w:themeColor="text1"/>
          <w:sz w:val="24"/>
        </w:rPr>
      </w:pPr>
      <w:r>
        <w:rPr>
          <w:rFonts w:ascii="Times New Roman" w:hAnsi="Times New Roman"/>
          <w:color w:val="000000" w:themeColor="text1"/>
          <w:sz w:val="24"/>
        </w:rPr>
        <w:t>Fogyatékos személyek számára biztosított alap- és szakosított ellátási formák:</w:t>
      </w:r>
    </w:p>
    <w:p w:rsidR="00795A46" w:rsidRDefault="00795A46" w:rsidP="00795A46">
      <w:pPr>
        <w:ind w:left="1080"/>
        <w:rPr>
          <w:rFonts w:ascii="Times New Roman" w:hAnsi="Times New Roman"/>
          <w:color w:val="000000" w:themeColor="text1"/>
          <w:sz w:val="24"/>
        </w:rPr>
      </w:pPr>
      <w:r>
        <w:rPr>
          <w:rFonts w:ascii="Times New Roman" w:hAnsi="Times New Roman"/>
          <w:color w:val="000000" w:themeColor="text1"/>
          <w:sz w:val="24"/>
        </w:rPr>
        <w:t>Szociális alapszolgáltatások: étkeztetés, házi segítségnyújtás, családsegítés, jelzőrendszeres házi segítségnyújtás, támogató szolgáltatás</w:t>
      </w:r>
    </w:p>
    <w:p w:rsidR="00795A46" w:rsidRDefault="00795A46" w:rsidP="00795A46">
      <w:pPr>
        <w:ind w:left="1080"/>
        <w:rPr>
          <w:rFonts w:ascii="Times New Roman" w:hAnsi="Times New Roman"/>
          <w:color w:val="000000" w:themeColor="text1"/>
          <w:sz w:val="24"/>
        </w:rPr>
      </w:pPr>
      <w:r>
        <w:rPr>
          <w:rFonts w:ascii="Times New Roman" w:hAnsi="Times New Roman"/>
          <w:color w:val="000000" w:themeColor="text1"/>
          <w:sz w:val="24"/>
        </w:rPr>
        <w:t>Szakosított ellátási formák: ápolást, gondozást nyújtó intézmények, fogyatékos személyek otthona, rehabilitációs intézmények, fogyatékos személyek gondozóháza, lakóotthon</w:t>
      </w:r>
    </w:p>
    <w:p w:rsidR="00795A46" w:rsidRPr="00077E2D" w:rsidRDefault="00795A46" w:rsidP="00795A46">
      <w:pPr>
        <w:rPr>
          <w:rFonts w:ascii="Times New Roman" w:hAnsi="Times New Roman"/>
          <w:color w:val="000000" w:themeColor="text1"/>
          <w:sz w:val="24"/>
        </w:rPr>
      </w:pPr>
    </w:p>
    <w:p w:rsidR="00795A46" w:rsidRDefault="00795A46" w:rsidP="00795A46">
      <w:pPr>
        <w:rPr>
          <w:rFonts w:ascii="Times New Roman" w:hAnsi="Times New Roman"/>
          <w:sz w:val="24"/>
        </w:rPr>
      </w:pPr>
    </w:p>
    <w:p w:rsidR="00795A46" w:rsidRDefault="00795A46" w:rsidP="00795A46">
      <w:pPr>
        <w:autoSpaceDE w:val="0"/>
        <w:spacing w:after="20"/>
        <w:rPr>
          <w:rFonts w:ascii="Times New Roman" w:hAnsi="Times New Roman"/>
          <w:b/>
          <w:sz w:val="24"/>
        </w:rPr>
      </w:pPr>
      <w:r>
        <w:rPr>
          <w:rFonts w:ascii="Times New Roman" w:hAnsi="Times New Roman"/>
          <w:b/>
          <w:sz w:val="24"/>
        </w:rPr>
        <w:t>7.3 A közszolgáltatásokhoz, közösségi közlekedéshez, információhoz és a közösségi élet gyakorlásához való hozzáférés lehetőségei, akadálymentesítés</w:t>
      </w:r>
    </w:p>
    <w:p w:rsidR="00795A46" w:rsidRDefault="00795A46" w:rsidP="00795A46">
      <w:pPr>
        <w:keepNext/>
        <w:tabs>
          <w:tab w:val="left" w:pos="2580"/>
        </w:tabs>
        <w:rPr>
          <w:rFonts w:ascii="Times New Roman" w:hAnsi="Times New Roman"/>
          <w:bCs/>
          <w:iCs/>
          <w:sz w:val="24"/>
        </w:rPr>
      </w:pPr>
    </w:p>
    <w:p w:rsidR="00795A46" w:rsidRDefault="00795A46" w:rsidP="00795A46">
      <w:pPr>
        <w:rPr>
          <w:rFonts w:ascii="Times New Roman" w:hAnsi="Times New Roman"/>
          <w:color w:val="000000" w:themeColor="text1"/>
          <w:sz w:val="24"/>
          <w:u w:val="single"/>
        </w:rPr>
      </w:pPr>
      <w:r>
        <w:rPr>
          <w:rFonts w:ascii="Times New Roman" w:hAnsi="Times New Roman"/>
          <w:bCs/>
          <w:color w:val="000000" w:themeColor="text1"/>
          <w:sz w:val="24"/>
          <w:u w:val="single"/>
        </w:rPr>
        <w:t>Környezet</w:t>
      </w:r>
    </w:p>
    <w:p w:rsidR="00795A46" w:rsidRDefault="00795A46" w:rsidP="00795A46">
      <w:pPr>
        <w:rPr>
          <w:rFonts w:ascii="Times New Roman" w:hAnsi="Times New Roman"/>
          <w:color w:val="000000" w:themeColor="text1"/>
          <w:sz w:val="24"/>
        </w:rPr>
      </w:pPr>
      <w:r>
        <w:rPr>
          <w:rFonts w:ascii="Times New Roman" w:hAnsi="Times New Roman"/>
          <w:color w:val="000000" w:themeColor="text1"/>
          <w:sz w:val="24"/>
        </w:rPr>
        <w:t>A fogyatékos személynek joga van a számára akadálymentes, továbbá érzékelhető és biztonságos épített környezetre. Ez a jog vonatkozik különösen a közlekedéssel és az épített környezettel kapcsolatos tájékozódási lehetőségekre. (Fot. tv. 5. § (1)- (2))</w:t>
      </w:r>
    </w:p>
    <w:p w:rsidR="00795A46" w:rsidRDefault="00795A46" w:rsidP="00795A46">
      <w:pPr>
        <w:rPr>
          <w:rFonts w:ascii="Times New Roman" w:hAnsi="Times New Roman"/>
          <w:color w:val="000000" w:themeColor="text1"/>
          <w:sz w:val="24"/>
        </w:rPr>
      </w:pPr>
    </w:p>
    <w:p w:rsidR="00795A46" w:rsidRDefault="00795A46" w:rsidP="00795A46">
      <w:pPr>
        <w:rPr>
          <w:rFonts w:ascii="Times New Roman" w:hAnsi="Times New Roman"/>
          <w:color w:val="000000" w:themeColor="text1"/>
          <w:sz w:val="24"/>
          <w:u w:val="single"/>
        </w:rPr>
      </w:pPr>
      <w:r>
        <w:rPr>
          <w:rFonts w:ascii="Times New Roman" w:hAnsi="Times New Roman"/>
          <w:bCs/>
          <w:color w:val="000000" w:themeColor="text1"/>
          <w:sz w:val="24"/>
          <w:u w:val="single"/>
        </w:rPr>
        <w:t>Kommunikáció</w:t>
      </w:r>
    </w:p>
    <w:p w:rsidR="00795A46" w:rsidRDefault="00795A46" w:rsidP="00795A46">
      <w:pPr>
        <w:rPr>
          <w:rFonts w:ascii="Times New Roman" w:hAnsi="Times New Roman"/>
          <w:color w:val="000000" w:themeColor="text1"/>
          <w:sz w:val="24"/>
        </w:rPr>
      </w:pPr>
      <w:r>
        <w:rPr>
          <w:rFonts w:ascii="Times New Roman" w:hAnsi="Times New Roman"/>
          <w:color w:val="000000" w:themeColor="text1"/>
          <w:sz w:val="24"/>
        </w:rPr>
        <w:t>A fogyatékos személy számára biztosítani kell az egyenlő esélyű hozzáférés lehetőségét a közérdekű információkhoz, továbbá azokhoz az információkhoz, amelyek a fogyatékos személyeket megillető jogokkal, valamint a részükre nyújtott szolgáltatásokkal kapcsolatosak. A kommunikációban jelentősen gátolt személy számára a közszolgáltatások igénybevételekor lehetővé kell tenni a tájékozódás és a személyi segítés feltételeit. (Fot.tv. 6.- 7. §) A megfelelően hozzáférhető információ létrehozása olyan szakmai feladat, mely kezdetben nehézséget okozhat. Érdemes olyan szakmai szolgáltató szervezeteket bevonni, mint pl. a jelnyelvi tolmácsszolgálatok, a könnyen érthető fordításokat készítő ÉFOÉSZ és tagszervezetei, a speciális eszközkölcsönzők.</w:t>
      </w:r>
    </w:p>
    <w:p w:rsidR="00795A46" w:rsidRDefault="00795A46" w:rsidP="00795A46">
      <w:pPr>
        <w:rPr>
          <w:rFonts w:ascii="Times New Roman" w:hAnsi="Times New Roman"/>
          <w:color w:val="000000" w:themeColor="text1"/>
          <w:sz w:val="24"/>
        </w:rPr>
      </w:pPr>
    </w:p>
    <w:p w:rsidR="00795A46" w:rsidRDefault="00795A46" w:rsidP="00795A46">
      <w:pPr>
        <w:rPr>
          <w:rFonts w:ascii="Times New Roman" w:hAnsi="Times New Roman"/>
          <w:color w:val="000000" w:themeColor="text1"/>
          <w:sz w:val="24"/>
          <w:u w:val="single"/>
        </w:rPr>
      </w:pPr>
      <w:r>
        <w:rPr>
          <w:rFonts w:ascii="Times New Roman" w:hAnsi="Times New Roman"/>
          <w:bCs/>
          <w:color w:val="000000" w:themeColor="text1"/>
          <w:sz w:val="24"/>
          <w:u w:val="single"/>
        </w:rPr>
        <w:t>Közlekedés</w:t>
      </w:r>
    </w:p>
    <w:p w:rsidR="00795A46" w:rsidRDefault="00795A46" w:rsidP="00795A46">
      <w:pPr>
        <w:rPr>
          <w:rFonts w:ascii="Times New Roman" w:hAnsi="Times New Roman"/>
          <w:bCs/>
          <w:color w:val="000000" w:themeColor="text1"/>
          <w:sz w:val="24"/>
        </w:rPr>
      </w:pPr>
      <w:r>
        <w:rPr>
          <w:rFonts w:ascii="Times New Roman" w:hAnsi="Times New Roman"/>
          <w:color w:val="000000" w:themeColor="text1"/>
          <w:sz w:val="24"/>
        </w:rPr>
        <w:t xml:space="preserve">A közlekedési rendszereknek és a tömegközlekedési eszközöknek, utasforgalmi létesítményeknek - beleértve a jelző- és tájékoztató berendezéseket is - alkalmasnak kell lenniük a fogyatékos személy általi biztonságos igénybevételre. Közhasználatú parkolóban a közlekedésében akadályozott fogyatékos személyek számára - a külön jogszabály szerint - megfelelő számú és alapterületű parkolóhely kialakításáról kell gondoskodni. (Fot.tv. 8.- 10. §) </w:t>
      </w:r>
    </w:p>
    <w:p w:rsidR="00795A46" w:rsidRDefault="00795A46" w:rsidP="00795A46">
      <w:pPr>
        <w:rPr>
          <w:rFonts w:ascii="Times New Roman" w:hAnsi="Times New Roman"/>
          <w:color w:val="000000" w:themeColor="text1"/>
          <w:sz w:val="24"/>
        </w:rPr>
      </w:pPr>
    </w:p>
    <w:p w:rsidR="00795A46" w:rsidRDefault="00795A46" w:rsidP="00795A46">
      <w:pPr>
        <w:rPr>
          <w:rFonts w:ascii="Times New Roman" w:hAnsi="Times New Roman"/>
          <w:color w:val="000000" w:themeColor="text1"/>
          <w:sz w:val="24"/>
          <w:u w:val="single"/>
        </w:rPr>
      </w:pPr>
      <w:r>
        <w:rPr>
          <w:rFonts w:ascii="Times New Roman" w:hAnsi="Times New Roman"/>
          <w:bCs/>
          <w:color w:val="000000" w:themeColor="text1"/>
          <w:sz w:val="24"/>
          <w:u w:val="single"/>
        </w:rPr>
        <w:t>Támogató szolgálat, segédeszköz</w:t>
      </w:r>
      <w:r>
        <w:rPr>
          <w:rFonts w:ascii="Times New Roman" w:hAnsi="Times New Roman"/>
          <w:color w:val="000000" w:themeColor="text1"/>
          <w:sz w:val="24"/>
          <w:u w:val="single"/>
        </w:rPr>
        <w:t xml:space="preserve"> </w:t>
      </w:r>
    </w:p>
    <w:p w:rsidR="00795A46" w:rsidRDefault="00795A46" w:rsidP="00795A46">
      <w:pPr>
        <w:rPr>
          <w:rFonts w:ascii="Times New Roman" w:hAnsi="Times New Roman"/>
          <w:color w:val="000000" w:themeColor="text1"/>
          <w:sz w:val="24"/>
        </w:rPr>
      </w:pPr>
      <w:r>
        <w:rPr>
          <w:rFonts w:ascii="Times New Roman" w:hAnsi="Times New Roman"/>
          <w:color w:val="000000" w:themeColor="text1"/>
          <w:sz w:val="24"/>
        </w:rPr>
        <w:t>Fogyatékos személy részére biztosítani kell a fogyatékossága által indokolt szükségleteinek megfelelő támogató szolgálat igénybevételét, továbbá segédeszközt. Az árhoz nyújtott támogatással beszerezhető segédeszközök körét és a támogatás módját, valamint mértékét külön jogszabály határozza meg. (Fot.tv. 11. §)</w:t>
      </w:r>
    </w:p>
    <w:p w:rsidR="00795A46" w:rsidRDefault="00795A46" w:rsidP="00795A46">
      <w:pPr>
        <w:rPr>
          <w:rFonts w:ascii="Times New Roman" w:hAnsi="Times New Roman"/>
          <w:color w:val="000000" w:themeColor="text1"/>
          <w:sz w:val="24"/>
        </w:rPr>
      </w:pPr>
    </w:p>
    <w:p w:rsidR="00795A46" w:rsidRDefault="00795A46" w:rsidP="00795A46">
      <w:pPr>
        <w:rPr>
          <w:rFonts w:ascii="Times New Roman" w:hAnsi="Times New Roman"/>
          <w:bCs/>
          <w:color w:val="000000" w:themeColor="text1"/>
          <w:sz w:val="24"/>
          <w:u w:val="single"/>
        </w:rPr>
      </w:pPr>
      <w:r>
        <w:rPr>
          <w:rFonts w:ascii="Times New Roman" w:hAnsi="Times New Roman"/>
          <w:bCs/>
          <w:color w:val="000000" w:themeColor="text1"/>
          <w:sz w:val="24"/>
          <w:u w:val="single"/>
        </w:rPr>
        <w:t>Egészségügy</w:t>
      </w:r>
    </w:p>
    <w:p w:rsidR="00795A46" w:rsidRDefault="00795A46" w:rsidP="00795A46">
      <w:pPr>
        <w:rPr>
          <w:rFonts w:ascii="Times New Roman" w:hAnsi="Times New Roman"/>
          <w:color w:val="000000" w:themeColor="text1"/>
          <w:sz w:val="24"/>
        </w:rPr>
      </w:pPr>
      <w:r>
        <w:rPr>
          <w:rFonts w:ascii="Times New Roman" w:hAnsi="Times New Roman"/>
          <w:color w:val="000000" w:themeColor="text1"/>
          <w:sz w:val="24"/>
        </w:rPr>
        <w:t xml:space="preserve">A fogyatékos személy egészségügyi ellátása során figyelemmel kell lenni a fogyatékosságából adódó szükségleteire. A fogyatékos személy egészségügyi ellátása során törekedni kell arra, hogy az ellátás segítse elő a rehabilitációját, társadalmi beilleszkedését, továbbá, hogy ne erősítse a betegségtudatát. (Fot.tv. 12. §) A modern emberi jogi szemlélet érvényesülése a fogyatékos emberek ellátása során alapelv. </w:t>
      </w:r>
    </w:p>
    <w:p w:rsidR="00795A46" w:rsidRDefault="00795A46" w:rsidP="00795A46">
      <w:pPr>
        <w:rPr>
          <w:rFonts w:ascii="Times New Roman" w:hAnsi="Times New Roman"/>
          <w:color w:val="000000" w:themeColor="text1"/>
          <w:sz w:val="24"/>
        </w:rPr>
      </w:pPr>
    </w:p>
    <w:p w:rsidR="00795A46" w:rsidRDefault="00795A46" w:rsidP="00795A46">
      <w:pPr>
        <w:rPr>
          <w:rFonts w:ascii="Times New Roman" w:hAnsi="Times New Roman"/>
          <w:bCs/>
          <w:color w:val="000000" w:themeColor="text1"/>
          <w:sz w:val="24"/>
          <w:u w:val="single"/>
        </w:rPr>
      </w:pPr>
      <w:r>
        <w:rPr>
          <w:rFonts w:ascii="Times New Roman" w:hAnsi="Times New Roman"/>
          <w:bCs/>
          <w:color w:val="000000" w:themeColor="text1"/>
          <w:sz w:val="24"/>
          <w:u w:val="single"/>
        </w:rPr>
        <w:t>Oktatás, képzés</w:t>
      </w:r>
    </w:p>
    <w:p w:rsidR="00795A46" w:rsidRDefault="00795A46" w:rsidP="00795A46">
      <w:pPr>
        <w:rPr>
          <w:rFonts w:ascii="Times New Roman" w:hAnsi="Times New Roman"/>
          <w:color w:val="000000" w:themeColor="text1"/>
          <w:sz w:val="24"/>
        </w:rPr>
      </w:pPr>
      <w:r>
        <w:rPr>
          <w:rFonts w:ascii="Times New Roman" w:hAnsi="Times New Roman"/>
          <w:color w:val="000000" w:themeColor="text1"/>
          <w:sz w:val="24"/>
        </w:rPr>
        <w:t>A fogyatékos személynek joga, hogy állapotának megfelelően és életkorától függően korai fejlesztésben és gondozásban, óvodai nevelésben, iskolai nevelésben és oktatásban, fejlesztő felkészítésben, szakképzésben, felnőttképzésben, továbbá felsőoktatásban vegyen részt a vonatkozó jogszabályokban meghatározottak szerint. Abban az esetben, ha az - az e célra létrehozott szakértői és rehabilitációs bizottság szakértői véleményében foglaltak szerint - a fogyatékos személy képességeinek kibontakoztatása céljából előnyös, a fogyatékos személy az óvodai nevelésben és oktatásban a többi gyermekkel, tanulóval együtt - azonos óvodai csoportban, illetve iskolai osztályban - vesz részt. A kiskorú fogyatékos személyt megilleti az a jog, hogy fejlesztése késedelem nélkül megkezdődjön, amint fogyatékosságát megállapították (Fot.tv. 13. §).</w:t>
      </w:r>
    </w:p>
    <w:p w:rsidR="00795A46" w:rsidRDefault="00795A46" w:rsidP="00795A46">
      <w:pPr>
        <w:rPr>
          <w:rFonts w:ascii="Times New Roman" w:hAnsi="Times New Roman"/>
          <w:bCs/>
          <w:color w:val="FF0000"/>
          <w:sz w:val="24"/>
        </w:rPr>
      </w:pPr>
    </w:p>
    <w:p w:rsidR="00795A46" w:rsidRDefault="00795A46" w:rsidP="00795A46">
      <w:pPr>
        <w:rPr>
          <w:rFonts w:ascii="Times New Roman" w:hAnsi="Times New Roman"/>
          <w:bCs/>
          <w:color w:val="000000" w:themeColor="text1"/>
          <w:sz w:val="24"/>
          <w:u w:val="single"/>
        </w:rPr>
      </w:pPr>
      <w:r>
        <w:rPr>
          <w:rFonts w:ascii="Times New Roman" w:hAnsi="Times New Roman"/>
          <w:bCs/>
          <w:color w:val="000000" w:themeColor="text1"/>
          <w:sz w:val="24"/>
          <w:u w:val="single"/>
        </w:rPr>
        <w:t>Lakóhely, közösségbe való befogadás, önálló életvitel</w:t>
      </w:r>
    </w:p>
    <w:p w:rsidR="00795A46" w:rsidRDefault="00795A46" w:rsidP="00795A46">
      <w:pPr>
        <w:rPr>
          <w:rFonts w:ascii="Times New Roman" w:hAnsi="Times New Roman"/>
          <w:color w:val="000000" w:themeColor="text1"/>
          <w:sz w:val="24"/>
        </w:rPr>
      </w:pPr>
      <w:r>
        <w:rPr>
          <w:rFonts w:ascii="Times New Roman" w:hAnsi="Times New Roman"/>
          <w:color w:val="000000" w:themeColor="text1"/>
          <w:sz w:val="24"/>
        </w:rPr>
        <w:t>A fogyatékos személynek joga van a fogyatékosságának, személyes körülményeinek megfelelő - családi, lakóotthoni, intézményi - lakhatási forma megválasztásához (Fot.tv. 17. §). A közösségi beilleszkedést segíthetik a fogyatékos emberek érdekvédelmi szervezetei, a települési civil szervezetek rendezvényeibe való bekapcsolódás, a közművelődési intézmények által meghirdetett programokba, eseményekbe való bekapcsolódás is.</w:t>
      </w:r>
    </w:p>
    <w:p w:rsidR="00795A46" w:rsidRDefault="00795A46" w:rsidP="00795A46">
      <w:pPr>
        <w:rPr>
          <w:rFonts w:ascii="Times New Roman" w:hAnsi="Times New Roman"/>
          <w:i/>
          <w:color w:val="FF0000"/>
          <w:sz w:val="24"/>
        </w:rPr>
      </w:pPr>
    </w:p>
    <w:p w:rsidR="00795A46" w:rsidRDefault="00795A46" w:rsidP="00795A46">
      <w:pPr>
        <w:rPr>
          <w:rFonts w:ascii="Times New Roman" w:hAnsi="Times New Roman"/>
          <w:color w:val="000000" w:themeColor="text1"/>
          <w:sz w:val="24"/>
          <w:u w:val="single"/>
        </w:rPr>
      </w:pPr>
      <w:r>
        <w:rPr>
          <w:rFonts w:ascii="Times New Roman" w:hAnsi="Times New Roman"/>
          <w:color w:val="000000" w:themeColor="text1"/>
          <w:sz w:val="24"/>
          <w:u w:val="single"/>
        </w:rPr>
        <w:t>Kultúra, sport</w:t>
      </w:r>
    </w:p>
    <w:p w:rsidR="00795A46" w:rsidRDefault="00795A46" w:rsidP="00795A46">
      <w:pPr>
        <w:rPr>
          <w:rFonts w:ascii="Times New Roman" w:hAnsi="Times New Roman"/>
          <w:color w:val="000000" w:themeColor="text1"/>
          <w:sz w:val="24"/>
        </w:rPr>
      </w:pPr>
      <w:r>
        <w:rPr>
          <w:rFonts w:ascii="Times New Roman" w:hAnsi="Times New Roman"/>
          <w:color w:val="000000" w:themeColor="text1"/>
          <w:sz w:val="24"/>
        </w:rPr>
        <w:t>A fogyatékos személy számára lehetővé kell tenni a művelődési, kulturális, sport- és más közösségi célú létesítmények látogatását. A fogyatékos személy számára - sportolási lehetőségeinek megteremtéséhez - a sportolási célú, szabadidős intézmények használatát hozzáférhetővé kell tenni (Fot.tv. 18. §).</w:t>
      </w:r>
    </w:p>
    <w:p w:rsidR="00795A46" w:rsidRPr="00077E2D" w:rsidRDefault="00795A46" w:rsidP="00795A46">
      <w:pPr>
        <w:autoSpaceDE w:val="0"/>
        <w:spacing w:after="20"/>
        <w:rPr>
          <w:rFonts w:ascii="Times New Roman" w:hAnsi="Times New Roman"/>
          <w:bCs/>
          <w:color w:val="000000" w:themeColor="text1"/>
          <w:sz w:val="24"/>
        </w:rPr>
      </w:pPr>
    </w:p>
    <w:p w:rsidR="00795A46" w:rsidRDefault="00795A46" w:rsidP="00795A46">
      <w:pPr>
        <w:autoSpaceDE w:val="0"/>
        <w:spacing w:after="20"/>
        <w:rPr>
          <w:rFonts w:ascii="Times New Roman" w:hAnsi="Times New Roman"/>
          <w:bCs/>
          <w:color w:val="000000" w:themeColor="text1"/>
          <w:sz w:val="24"/>
          <w:u w:val="single"/>
        </w:rPr>
      </w:pPr>
      <w:r>
        <w:rPr>
          <w:rFonts w:ascii="Times New Roman" w:hAnsi="Times New Roman"/>
          <w:bCs/>
          <w:color w:val="000000" w:themeColor="text1"/>
          <w:sz w:val="24"/>
          <w:u w:val="single"/>
        </w:rPr>
        <w:t>A rehabilitációhoz való jog</w:t>
      </w:r>
    </w:p>
    <w:p w:rsidR="00795A46" w:rsidRDefault="00795A46" w:rsidP="00795A46">
      <w:pPr>
        <w:autoSpaceDE w:val="0"/>
        <w:spacing w:after="20"/>
        <w:rPr>
          <w:rFonts w:ascii="Times New Roman" w:hAnsi="Times New Roman"/>
          <w:color w:val="000000" w:themeColor="text1"/>
          <w:sz w:val="24"/>
        </w:rPr>
      </w:pPr>
      <w:r>
        <w:rPr>
          <w:rFonts w:ascii="Times New Roman" w:hAnsi="Times New Roman"/>
          <w:color w:val="000000" w:themeColor="text1"/>
          <w:sz w:val="24"/>
        </w:rPr>
        <w:t xml:space="preserve">A fogyatékos személynek joga van a rehabilitációra. E jog érvényesítését rehabilitációs szolgáltatások, ellátások biztosítják. Az ehhez kapcsolódó állami feladatot a fogyatékos személyek esélyegyenlőségének biztosítására létrehozott, a társadalmi esélyegyenlőség előmozdításáért felelős miniszter szakmai felügyelete alatt álló szervezet látja el. Az érintett célcsoport sok esetben nem rendelkezik megfelelő információval a saját jogai és lehetőségei tekintetében, ezen mindenképpen változtatni szükséges. </w:t>
      </w:r>
    </w:p>
    <w:p w:rsidR="00795A46" w:rsidRDefault="00795A46" w:rsidP="00795A46">
      <w:pPr>
        <w:autoSpaceDE w:val="0"/>
        <w:spacing w:after="20"/>
        <w:rPr>
          <w:rFonts w:ascii="Times New Roman" w:hAnsi="Times New Roman"/>
          <w:color w:val="000000" w:themeColor="text1"/>
          <w:sz w:val="24"/>
        </w:rPr>
      </w:pPr>
    </w:p>
    <w:p w:rsidR="00795A46" w:rsidRDefault="00795A46" w:rsidP="00795A46">
      <w:pPr>
        <w:autoSpaceDE w:val="0"/>
        <w:spacing w:after="20"/>
        <w:rPr>
          <w:rFonts w:ascii="Times New Roman" w:hAnsi="Times New Roman"/>
          <w:bCs/>
          <w:color w:val="000000" w:themeColor="text1"/>
          <w:sz w:val="24"/>
          <w:u w:val="single"/>
        </w:rPr>
      </w:pPr>
      <w:r>
        <w:rPr>
          <w:rFonts w:ascii="Times New Roman" w:hAnsi="Times New Roman"/>
          <w:bCs/>
          <w:color w:val="000000" w:themeColor="text1"/>
          <w:sz w:val="24"/>
          <w:u w:val="single"/>
        </w:rPr>
        <w:t>A helyi politikai életben és közéletben való részvételhez való jog</w:t>
      </w:r>
    </w:p>
    <w:p w:rsidR="00795A46" w:rsidRDefault="00795A46" w:rsidP="00795A46">
      <w:pPr>
        <w:autoSpaceDE w:val="0"/>
        <w:spacing w:after="20"/>
        <w:rPr>
          <w:rFonts w:ascii="Times New Roman" w:hAnsi="Times New Roman"/>
          <w:color w:val="000000" w:themeColor="text1"/>
          <w:sz w:val="24"/>
        </w:rPr>
      </w:pPr>
      <w:r>
        <w:rPr>
          <w:rFonts w:ascii="Times New Roman" w:hAnsi="Times New Roman"/>
          <w:color w:val="000000" w:themeColor="text1"/>
          <w:sz w:val="24"/>
        </w:rPr>
        <w:t>A fogyatékos személynek joga, hogy</w:t>
      </w:r>
      <w:r>
        <w:rPr>
          <w:rFonts w:ascii="Times New Roman" w:hAnsi="Times New Roman"/>
          <w:bCs/>
          <w:color w:val="000000" w:themeColor="text1"/>
          <w:sz w:val="24"/>
        </w:rPr>
        <w:t xml:space="preserve"> másokkal azonos alapon, hatékonyan és </w:t>
      </w:r>
      <w:r>
        <w:rPr>
          <w:rFonts w:ascii="Times New Roman" w:hAnsi="Times New Roman"/>
          <w:color w:val="000000" w:themeColor="text1"/>
          <w:sz w:val="24"/>
        </w:rPr>
        <w:t xml:space="preserve">teljes körűen vehessenek részt a helyi politikai életben és a közéletben, közvetlenül vagy szabadon választott képviselőkön keresztül, beleértve a fogyatékossággal élő személyek jogát és lehetőségét a szavazásra és választhatóságra.  A fogyatékossággal élő személyek jogairól szóló egyezmény és az ahhoz kapcsolódó Fakultatív Jegyzőkönyv kihirdetéséről szóló 2007. évi XCII. tv 29. cikk) értelmében a fogyatékossággal élő emberek önérvényesítő mozgalmainak erősödése, saját maguk képviseleti lehetőségének támogatása kiemelt feladat. </w:t>
      </w:r>
    </w:p>
    <w:p w:rsidR="00795A46" w:rsidRDefault="00795A46" w:rsidP="00795A46">
      <w:pPr>
        <w:numPr>
          <w:ilvl w:val="0"/>
          <w:numId w:val="30"/>
        </w:numPr>
        <w:spacing w:before="300" w:after="300"/>
        <w:ind w:right="150"/>
        <w:rPr>
          <w:rFonts w:ascii="Times New Roman" w:hAnsi="Times New Roman"/>
          <w:b/>
          <w:sz w:val="24"/>
        </w:rPr>
      </w:pPr>
      <w:r>
        <w:rPr>
          <w:rFonts w:ascii="Times New Roman" w:hAnsi="Times New Roman"/>
          <w:b/>
          <w:sz w:val="24"/>
        </w:rPr>
        <w:t>egészségügyi és rehabilitációs ellátások elérhetősége, együttműködése</w:t>
      </w:r>
    </w:p>
    <w:p w:rsidR="00795A46" w:rsidRDefault="00795A46" w:rsidP="00795A46">
      <w:pPr>
        <w:spacing w:before="300" w:after="300"/>
        <w:ind w:right="150"/>
        <w:rPr>
          <w:rFonts w:ascii="Times New Roman" w:hAnsi="Times New Roman"/>
          <w:b/>
          <w:sz w:val="24"/>
        </w:rPr>
      </w:pPr>
      <w:r>
        <w:rPr>
          <w:rFonts w:ascii="Times New Roman" w:hAnsi="Times New Roman"/>
          <w:sz w:val="24"/>
        </w:rPr>
        <w:t xml:space="preserve">A település egészségügyi alapszolgáltatásainak mindegyike akadálymentesen elérhető a szolgáltatást igénybevevők számára. A településen nem érhetők el kifejezetten a rehabilitációs szolgáltatások fogyatékossággal élő személyek számára, de a rehabilitációs ellátásban részesülők közül néhányan integrált vagy támogatott munkahelyeken dolgozhatnak. A rehabilitációs ellátások igénybevételéhez az igénybevevőknek a környező városokba kell utazniuk, a helyben működő szociális szolgáltatást nyújtó szervezetek ezeknek az elérésében, a szolgáltatáshoz jutás megszervezésében tudnak segítséget nyújtani. </w:t>
      </w:r>
    </w:p>
    <w:p w:rsidR="00795A46" w:rsidRDefault="00795A46" w:rsidP="00795A46">
      <w:pPr>
        <w:numPr>
          <w:ilvl w:val="0"/>
          <w:numId w:val="30"/>
        </w:numPr>
        <w:autoSpaceDE w:val="0"/>
        <w:spacing w:after="20"/>
        <w:rPr>
          <w:rFonts w:ascii="Times New Roman" w:hAnsi="Times New Roman"/>
          <w:b/>
          <w:sz w:val="24"/>
        </w:rPr>
      </w:pPr>
      <w:r>
        <w:rPr>
          <w:rFonts w:ascii="Times New Roman" w:hAnsi="Times New Roman"/>
          <w:b/>
          <w:sz w:val="24"/>
        </w:rPr>
        <w:t>a települési önkormányzati tulajdonban lévő középületek akadálymentesítettsége</w:t>
      </w:r>
    </w:p>
    <w:p w:rsidR="00795A46" w:rsidRDefault="00795A46" w:rsidP="00795A46">
      <w:pPr>
        <w:autoSpaceDE w:val="0"/>
        <w:spacing w:after="20"/>
        <w:rPr>
          <w:rFonts w:ascii="Times New Roman" w:hAnsi="Times New Roman"/>
          <w:iCs/>
          <w:sz w:val="24"/>
        </w:rPr>
      </w:pPr>
    </w:p>
    <w:p w:rsidR="00795A46" w:rsidRDefault="00795A46" w:rsidP="00795A46">
      <w:pPr>
        <w:autoSpaceDE w:val="0"/>
        <w:spacing w:after="20"/>
        <w:rPr>
          <w:rFonts w:ascii="Times New Roman" w:hAnsi="Times New Roman"/>
          <w:sz w:val="24"/>
        </w:rPr>
      </w:pPr>
      <w:r>
        <w:rPr>
          <w:rFonts w:ascii="Times New Roman" w:hAnsi="Times New Roman"/>
          <w:iCs/>
          <w:sz w:val="24"/>
        </w:rPr>
        <w:t>A jogszabályi előírás szeri</w:t>
      </w:r>
      <w:r>
        <w:rPr>
          <w:rFonts w:ascii="Times New Roman" w:hAnsi="Times New Roman"/>
          <w:sz w:val="24"/>
        </w:rPr>
        <w:t>nt az összes költségvetési intézménynek, az összes önkormányzati és közszolgáltatást nyújtó intézményeknek akadálymentesnek kellene lennie.</w:t>
      </w:r>
    </w:p>
    <w:p w:rsidR="00795A46" w:rsidRDefault="00795A46" w:rsidP="00795A46">
      <w:pPr>
        <w:rPr>
          <w:rFonts w:ascii="Times New Roman" w:hAnsi="Times New Roman"/>
          <w:sz w:val="24"/>
        </w:rPr>
      </w:pPr>
      <w:r>
        <w:rPr>
          <w:rFonts w:ascii="Times New Roman" w:hAnsi="Times New Roman"/>
          <w:sz w:val="24"/>
        </w:rPr>
        <w:t>Fontos, hogy a közszolgáltatás tényleges igénybe vételéhez nem elég az épületbe bejutni, azt be is kell tudni járni -legalább a közszolgáltatás igénybevételéhez szükséges mértékben-, valamint veszély esetén biztonsággal el kell tudni hagyni az épületet.  A közszolgáltatás akkor hozzáférhető, ha a fizikai megközelítés lehetőségén túl az épületen belüli tájékozódás lehetősége biztosított a vak és gyengén látó, a siket, és nagyothalló, az értelmi fogyatékos, az autista, a súlyosan-halmozottan fogyatékos személy számára. A mozgássérültekkel kapcsolatban leggyakrabban a biztonságos és akadálymentes (fizikai akadálymentesítés), vakok, gyengén látók, hallássérültek esetében pedig az érzékelhető környezetről van szó. Ebben az esetben infokommunikációs akadálymentesítésről beszélünk.</w:t>
      </w:r>
    </w:p>
    <w:p w:rsidR="00795A46" w:rsidRDefault="00795A46" w:rsidP="00795A46">
      <w:pPr>
        <w:rPr>
          <w:rFonts w:ascii="Times New Roman" w:hAnsi="Times New Roman"/>
          <w:sz w:val="24"/>
        </w:rPr>
      </w:pPr>
      <w:r>
        <w:rPr>
          <w:rFonts w:ascii="Times New Roman" w:hAnsi="Times New Roman"/>
          <w:sz w:val="24"/>
        </w:rPr>
        <w:br/>
        <w:t>Csorvás város önkormányzati tulajdonban lévő középületei és azok akadálymentesítettsége:</w:t>
      </w:r>
    </w:p>
    <w:p w:rsidR="00795A46" w:rsidRDefault="00795A46" w:rsidP="00795A46">
      <w:pPr>
        <w:rPr>
          <w:rFonts w:ascii="Times New Roman" w:hAnsi="Times New Roman"/>
          <w:sz w:val="24"/>
        </w:rPr>
      </w:pPr>
    </w:p>
    <w:p w:rsidR="00795A46" w:rsidRDefault="00795A46" w:rsidP="00795A46">
      <w:pPr>
        <w:numPr>
          <w:ilvl w:val="0"/>
          <w:numId w:val="25"/>
        </w:numPr>
        <w:rPr>
          <w:rFonts w:ascii="Times New Roman" w:hAnsi="Times New Roman"/>
          <w:sz w:val="24"/>
        </w:rPr>
      </w:pPr>
      <w:r>
        <w:rPr>
          <w:rFonts w:ascii="Times New Roman" w:hAnsi="Times New Roman"/>
          <w:sz w:val="24"/>
        </w:rPr>
        <w:t>Polgármesteri hivatal épülete: mozgáskorlátozott mosdóval és rámpával van ellátva főépület, mobil rámpával van ellátva a házasságkötő terem épülete</w:t>
      </w:r>
    </w:p>
    <w:p w:rsidR="00795A46" w:rsidRDefault="00795A46" w:rsidP="00795A46">
      <w:pPr>
        <w:numPr>
          <w:ilvl w:val="0"/>
          <w:numId w:val="25"/>
        </w:numPr>
        <w:rPr>
          <w:rFonts w:ascii="Times New Roman" w:hAnsi="Times New Roman"/>
          <w:sz w:val="24"/>
        </w:rPr>
      </w:pPr>
      <w:r>
        <w:rPr>
          <w:rFonts w:ascii="Times New Roman" w:hAnsi="Times New Roman"/>
          <w:sz w:val="24"/>
        </w:rPr>
        <w:t>ÁMK István király úti iskola – fizikai és infokommunikációs akadálymentesítés</w:t>
      </w:r>
    </w:p>
    <w:p w:rsidR="00795A46" w:rsidRDefault="00795A46" w:rsidP="00795A46">
      <w:pPr>
        <w:numPr>
          <w:ilvl w:val="0"/>
          <w:numId w:val="25"/>
        </w:numPr>
        <w:rPr>
          <w:rFonts w:ascii="Times New Roman" w:hAnsi="Times New Roman"/>
          <w:sz w:val="24"/>
        </w:rPr>
      </w:pPr>
      <w:r>
        <w:rPr>
          <w:rFonts w:ascii="Times New Roman" w:hAnsi="Times New Roman"/>
          <w:sz w:val="24"/>
        </w:rPr>
        <w:t>ÁMK Petőfi utcai iskola - fizikai és infokommunikációs akadálymentesítés</w:t>
      </w:r>
    </w:p>
    <w:p w:rsidR="00795A46" w:rsidRDefault="00795A46" w:rsidP="00795A46">
      <w:pPr>
        <w:numPr>
          <w:ilvl w:val="0"/>
          <w:numId w:val="25"/>
        </w:numPr>
        <w:rPr>
          <w:rFonts w:ascii="Times New Roman" w:hAnsi="Times New Roman"/>
          <w:sz w:val="24"/>
        </w:rPr>
      </w:pPr>
      <w:r>
        <w:rPr>
          <w:rFonts w:ascii="Times New Roman" w:hAnsi="Times New Roman"/>
          <w:sz w:val="24"/>
        </w:rPr>
        <w:t>ÁMK Arany J. úti, egykori iskolaépülete, ma helytörténeti gyűjtemény – fizikai akadálymentesítés</w:t>
      </w:r>
    </w:p>
    <w:p w:rsidR="00795A46" w:rsidRDefault="00795A46" w:rsidP="00795A46">
      <w:pPr>
        <w:numPr>
          <w:ilvl w:val="0"/>
          <w:numId w:val="25"/>
        </w:numPr>
        <w:rPr>
          <w:rFonts w:ascii="Times New Roman" w:hAnsi="Times New Roman"/>
          <w:sz w:val="24"/>
        </w:rPr>
      </w:pPr>
      <w:r>
        <w:rPr>
          <w:rFonts w:ascii="Times New Roman" w:hAnsi="Times New Roman"/>
          <w:sz w:val="24"/>
        </w:rPr>
        <w:t>ÁMK István király úti óvoda – fizikai akadálymentesítés</w:t>
      </w:r>
    </w:p>
    <w:p w:rsidR="00795A46" w:rsidRDefault="00795A46" w:rsidP="00795A46">
      <w:pPr>
        <w:numPr>
          <w:ilvl w:val="0"/>
          <w:numId w:val="25"/>
        </w:numPr>
        <w:rPr>
          <w:rFonts w:ascii="Times New Roman" w:hAnsi="Times New Roman"/>
          <w:sz w:val="24"/>
        </w:rPr>
      </w:pPr>
      <w:r>
        <w:rPr>
          <w:rFonts w:ascii="Times New Roman" w:hAnsi="Times New Roman"/>
          <w:sz w:val="24"/>
        </w:rPr>
        <w:t>ÁMK Bocskai utcai óvoda és bölcsőde épületei- fizikai akadálymentesítés</w:t>
      </w:r>
    </w:p>
    <w:p w:rsidR="00795A46" w:rsidRDefault="00795A46" w:rsidP="00795A46">
      <w:pPr>
        <w:numPr>
          <w:ilvl w:val="0"/>
          <w:numId w:val="25"/>
        </w:numPr>
        <w:rPr>
          <w:rFonts w:ascii="Times New Roman" w:hAnsi="Times New Roman"/>
          <w:sz w:val="24"/>
        </w:rPr>
      </w:pPr>
      <w:r>
        <w:rPr>
          <w:rFonts w:ascii="Times New Roman" w:hAnsi="Times New Roman"/>
          <w:sz w:val="24"/>
        </w:rPr>
        <w:t>Művelődési Ház és Könyvtár - fizikai akadálymentesítés</w:t>
      </w:r>
    </w:p>
    <w:p w:rsidR="00795A46" w:rsidRDefault="00795A46" w:rsidP="00795A46">
      <w:pPr>
        <w:numPr>
          <w:ilvl w:val="0"/>
          <w:numId w:val="25"/>
        </w:numPr>
        <w:rPr>
          <w:rFonts w:ascii="Times New Roman" w:hAnsi="Times New Roman"/>
          <w:sz w:val="24"/>
        </w:rPr>
      </w:pPr>
      <w:r>
        <w:rPr>
          <w:rFonts w:ascii="Times New Roman" w:hAnsi="Times New Roman"/>
          <w:sz w:val="24"/>
        </w:rPr>
        <w:t>Egészségügyi Centrum és Védőnői Szolgálat épületei - fizikai és infokommunikációs akadálymentesítés</w:t>
      </w:r>
    </w:p>
    <w:p w:rsidR="00795A46" w:rsidRDefault="00795A46" w:rsidP="00795A46">
      <w:pPr>
        <w:numPr>
          <w:ilvl w:val="0"/>
          <w:numId w:val="25"/>
        </w:numPr>
        <w:rPr>
          <w:rFonts w:ascii="Times New Roman" w:hAnsi="Times New Roman"/>
          <w:sz w:val="24"/>
        </w:rPr>
      </w:pPr>
      <w:r>
        <w:rPr>
          <w:rFonts w:ascii="Times New Roman" w:hAnsi="Times New Roman"/>
          <w:sz w:val="24"/>
        </w:rPr>
        <w:t>Alapfokú Művészeti Iskola – nincs akadálymentesítés</w:t>
      </w:r>
    </w:p>
    <w:p w:rsidR="00795A46" w:rsidRDefault="00795A46" w:rsidP="00795A46">
      <w:pPr>
        <w:numPr>
          <w:ilvl w:val="0"/>
          <w:numId w:val="25"/>
        </w:numPr>
        <w:rPr>
          <w:rFonts w:ascii="Times New Roman" w:hAnsi="Times New Roman"/>
          <w:sz w:val="24"/>
        </w:rPr>
      </w:pPr>
      <w:r>
        <w:rPr>
          <w:rFonts w:ascii="Times New Roman" w:hAnsi="Times New Roman"/>
          <w:sz w:val="24"/>
        </w:rPr>
        <w:t>Egyesített Szociális Intézmény idősek bentlakásos otthona – fizikai akadálymentesítés</w:t>
      </w:r>
    </w:p>
    <w:p w:rsidR="00795A46" w:rsidRDefault="00795A46" w:rsidP="00795A46">
      <w:pPr>
        <w:numPr>
          <w:ilvl w:val="0"/>
          <w:numId w:val="25"/>
        </w:numPr>
        <w:rPr>
          <w:rFonts w:ascii="Times New Roman" w:hAnsi="Times New Roman"/>
          <w:sz w:val="24"/>
        </w:rPr>
      </w:pPr>
      <w:r>
        <w:rPr>
          <w:rFonts w:ascii="Times New Roman" w:hAnsi="Times New Roman"/>
          <w:sz w:val="24"/>
        </w:rPr>
        <w:t>Egyesített Szociális Intézmény nappali ellátást biztosító helyiségei – fizikai akadálymentesítés</w:t>
      </w:r>
    </w:p>
    <w:p w:rsidR="00795A46" w:rsidRDefault="00795A46" w:rsidP="00795A46">
      <w:pPr>
        <w:numPr>
          <w:ilvl w:val="0"/>
          <w:numId w:val="25"/>
        </w:numPr>
        <w:rPr>
          <w:rFonts w:ascii="Times New Roman" w:hAnsi="Times New Roman"/>
          <w:sz w:val="24"/>
        </w:rPr>
      </w:pPr>
      <w:r>
        <w:rPr>
          <w:rFonts w:ascii="Times New Roman" w:hAnsi="Times New Roman"/>
          <w:sz w:val="24"/>
        </w:rPr>
        <w:t>Családsegítő Szolgálat – a Móra utcai épület nem akadálymentes, a Szolgálat ideiglenes elhelyezést biztosító Védőnői Szolgálat épülete fizikai és infokommunikációs akadálymentesítés</w:t>
      </w:r>
    </w:p>
    <w:p w:rsidR="00795A46" w:rsidRDefault="00795A46" w:rsidP="00795A46">
      <w:pPr>
        <w:rPr>
          <w:rFonts w:ascii="Times New Roman" w:hAnsi="Times New Roman"/>
          <w:sz w:val="24"/>
        </w:rPr>
      </w:pPr>
    </w:p>
    <w:p w:rsidR="00795A46" w:rsidRDefault="00795A46" w:rsidP="00795A46">
      <w:pPr>
        <w:numPr>
          <w:ilvl w:val="0"/>
          <w:numId w:val="30"/>
        </w:numPr>
        <w:autoSpaceDE w:val="0"/>
        <w:spacing w:after="20"/>
        <w:ind w:left="142" w:hanging="142"/>
        <w:rPr>
          <w:rFonts w:ascii="Times New Roman" w:hAnsi="Times New Roman"/>
          <w:b/>
          <w:sz w:val="24"/>
        </w:rPr>
      </w:pPr>
      <w:r>
        <w:rPr>
          <w:rFonts w:ascii="Times New Roman" w:hAnsi="Times New Roman"/>
          <w:b/>
          <w:sz w:val="24"/>
        </w:rPr>
        <w:t>közszolgáltatásokhoz, köznevelési intézményekhez, kulturális és sportprogramokhoz való hozzáférés lehetőségei, fizikai, információs és kommunikációs akadálymentesítettség, lakóépületek, szolgáltató épületek akadálymentesítettsége</w:t>
      </w:r>
    </w:p>
    <w:p w:rsidR="00795A46" w:rsidRDefault="00795A46" w:rsidP="00795A46">
      <w:pPr>
        <w:rPr>
          <w:rFonts w:ascii="Times New Roman" w:hAnsi="Times New Roman"/>
        </w:rPr>
      </w:pPr>
    </w:p>
    <w:p w:rsidR="00795A46" w:rsidRDefault="00795A46" w:rsidP="00795A46">
      <w:pPr>
        <w:autoSpaceDE w:val="0"/>
        <w:spacing w:after="20"/>
        <w:rPr>
          <w:rFonts w:ascii="Times New Roman" w:hAnsi="Times New Roman"/>
          <w:sz w:val="24"/>
        </w:rPr>
      </w:pPr>
      <w:r>
        <w:rPr>
          <w:rFonts w:ascii="Times New Roman" w:hAnsi="Times New Roman"/>
          <w:sz w:val="24"/>
        </w:rPr>
        <w:t>Csorváson is élnek kerekesszékkel közlekedők. A kerekesszékesek egy része a városban mozgáskorlátozottak számára kialakított lakóotthonban él, más része pedig helyi lakosként a saját otthonában lakik. A lakóotthonokban a fizikai és az infokommunikációs akadálymentesítés megoldott. A mozgáskorlátozottak saját otthonaikat pedig lehetőségeikhez és igényeikhez mérten – esetenként támogatások igénybevételével akadálymentessé alakították át. A közszolgáltatásokhoz való akadálymentes hozzáférés részben biztosított, mivel a középületek fizikai akadálymentesítése megtörtént, kivéve a házasságkötő termet, mely jelenleg nem elérhető számukra. Megoldást egy mobil rámpa jelenthet. Infokommunikációs akadálymentesítés néhány középületben még megoldásra vár. A sport- és kulturális programok egy része szabadtéren van, ezek a rendezvényterek akadálymentesen megközelíthetők. A Művelődési Házban szervezett programokhoz is akadálymentesen hozzáférhet a fogyatékkal élő ember, ugyanis itt a fizikai és az infokommunikációs akadálymentesítés megtörtént. A háziorvosok az egészségügyi alapellátást a 2010-ben átadott Egészségügyi Centrumban végzik. Ebben az épületben komplex akadálymentesítés történt. Azon túlmenően, hogy fizikailag akadálymentesen megközelíthetőek a rendelők, a látássérülteket a burkolatokba beépített eltérő színű sávok igazítják útba, a látássérültek számára Braille írással készült feliratok adnak útbaigazítást, a hallássérültek kommunikációját pedig indukciós hurok segíti.</w:t>
      </w:r>
    </w:p>
    <w:p w:rsidR="00795A46" w:rsidRDefault="00795A46" w:rsidP="00795A46">
      <w:pPr>
        <w:keepNext/>
        <w:tabs>
          <w:tab w:val="left" w:pos="2580"/>
        </w:tabs>
        <w:rPr>
          <w:rFonts w:ascii="Times New Roman" w:hAnsi="Times New Roman"/>
          <w:bCs/>
          <w:iCs/>
          <w:sz w:val="24"/>
        </w:rPr>
      </w:pPr>
    </w:p>
    <w:p w:rsidR="00795A46" w:rsidRDefault="00795A46" w:rsidP="00795A46">
      <w:pPr>
        <w:autoSpaceDE w:val="0"/>
        <w:spacing w:after="20"/>
        <w:rPr>
          <w:rFonts w:ascii="Times New Roman" w:hAnsi="Times New Roman"/>
          <w:b/>
          <w:sz w:val="24"/>
        </w:rPr>
      </w:pPr>
      <w:r>
        <w:rPr>
          <w:rFonts w:ascii="Times New Roman" w:hAnsi="Times New Roman"/>
          <w:b/>
          <w:iCs/>
          <w:sz w:val="24"/>
        </w:rPr>
        <w:t>d)</w:t>
      </w:r>
      <w:r>
        <w:rPr>
          <w:rFonts w:ascii="Times New Roman" w:hAnsi="Times New Roman"/>
          <w:b/>
          <w:sz w:val="24"/>
        </w:rPr>
        <w:t xml:space="preserve"> munkahelyek akadálymentesítettsége</w:t>
      </w:r>
    </w:p>
    <w:p w:rsidR="00795A46" w:rsidRDefault="00795A46" w:rsidP="00795A46">
      <w:pPr>
        <w:keepNext/>
        <w:tabs>
          <w:tab w:val="left" w:pos="2580"/>
        </w:tabs>
        <w:rPr>
          <w:rFonts w:ascii="Times New Roman" w:hAnsi="Times New Roman"/>
          <w:bCs/>
          <w:iCs/>
          <w:sz w:val="24"/>
        </w:rPr>
      </w:pPr>
    </w:p>
    <w:p w:rsidR="00795A46" w:rsidRDefault="00795A46" w:rsidP="00795A46">
      <w:pPr>
        <w:rPr>
          <w:rFonts w:ascii="Times New Roman" w:hAnsi="Times New Roman"/>
          <w:sz w:val="24"/>
        </w:rPr>
      </w:pPr>
      <w:r>
        <w:rPr>
          <w:rFonts w:ascii="Times New Roman" w:hAnsi="Times New Roman"/>
          <w:sz w:val="24"/>
        </w:rPr>
        <w:t>A jelenleg rendelkezésünkre álló adatok szerint a településünkön foglalkoztatást végző vállalkozások épületeinek jelentős részében nincs fizikai vagy infokommunikációs akadálymentesítés.</w:t>
      </w:r>
    </w:p>
    <w:p w:rsidR="00795A46" w:rsidRDefault="00795A46" w:rsidP="00795A46">
      <w:pPr>
        <w:rPr>
          <w:rFonts w:ascii="Times New Roman" w:hAnsi="Times New Roman"/>
          <w:sz w:val="24"/>
        </w:rPr>
      </w:pPr>
    </w:p>
    <w:p w:rsidR="00795A46" w:rsidRDefault="00795A46" w:rsidP="00795A46">
      <w:pPr>
        <w:autoSpaceDE w:val="0"/>
        <w:spacing w:after="20"/>
        <w:rPr>
          <w:rFonts w:ascii="Times New Roman" w:hAnsi="Times New Roman"/>
          <w:sz w:val="24"/>
        </w:rPr>
      </w:pPr>
      <w:r>
        <w:rPr>
          <w:rFonts w:ascii="Times New Roman" w:hAnsi="Times New Roman"/>
          <w:b/>
          <w:iCs/>
          <w:sz w:val="24"/>
        </w:rPr>
        <w:t>e)</w:t>
      </w:r>
      <w:r>
        <w:rPr>
          <w:rFonts w:ascii="Times New Roman" w:hAnsi="Times New Roman"/>
          <w:b/>
          <w:sz w:val="24"/>
        </w:rPr>
        <w:t xml:space="preserve"> közösségi közlekedés, járdák, parkok akadálymentesítettsége</w:t>
      </w:r>
      <w:r>
        <w:rPr>
          <w:rFonts w:ascii="Times New Roman" w:hAnsi="Times New Roman"/>
          <w:b/>
          <w:sz w:val="24"/>
        </w:rPr>
        <w:tab/>
      </w:r>
      <w:r>
        <w:rPr>
          <w:rFonts w:ascii="Times New Roman" w:hAnsi="Times New Roman"/>
          <w:b/>
          <w:sz w:val="24"/>
        </w:rPr>
        <w:br/>
      </w:r>
    </w:p>
    <w:p w:rsidR="00795A46" w:rsidRDefault="00795A46" w:rsidP="00795A46">
      <w:pPr>
        <w:rPr>
          <w:rFonts w:ascii="Times New Roman" w:hAnsi="Times New Roman"/>
          <w:sz w:val="24"/>
        </w:rPr>
      </w:pPr>
      <w:r>
        <w:rPr>
          <w:rFonts w:ascii="Times New Roman" w:hAnsi="Times New Roman"/>
          <w:sz w:val="24"/>
        </w:rPr>
        <w:t>Csorváson a közösségi és egyéni közlekedésben teljeskörű fizikai és infokommunikációs akadálymentesítettségről nem beszélhetünk, ez a feladat még megoldásra vár. A közlekedésben további problémát jelent egyes járdaszakaszok rossz minősége, melyek megnehezítik, vagy lehetetlenné teszik a kerekesszékkel történő biztonságos közlekedést. Néhány útszakaszon a kiemelt szegélyek képeznek akadályt a gépkocsival utazó fogyatékossággal élők számára. Újdonság, hogy az önkormányzat a település főutcájának három kiemelt gyalogátkelőhelyén létesített okos-zebrát, amely egy fényjelzést adó berendezés. Akkor lép működésbe, amikor a gyalogos megközelíti a zebrát, ilyenkor a közúton közlekedők számára fényjelzéssel biztosítja a figyelemfelkeltést.</w:t>
      </w:r>
    </w:p>
    <w:p w:rsidR="00795A46" w:rsidRDefault="00795A46" w:rsidP="00795A46">
      <w:pPr>
        <w:autoSpaceDE w:val="0"/>
        <w:spacing w:after="20"/>
        <w:rPr>
          <w:rFonts w:ascii="Times New Roman" w:hAnsi="Times New Roman"/>
          <w:b/>
          <w:iCs/>
          <w:sz w:val="24"/>
        </w:rPr>
      </w:pPr>
    </w:p>
    <w:p w:rsidR="00795A46" w:rsidRDefault="00795A46" w:rsidP="00795A46">
      <w:pPr>
        <w:autoSpaceDE w:val="0"/>
        <w:spacing w:after="20"/>
        <w:rPr>
          <w:rFonts w:ascii="Times New Roman" w:hAnsi="Times New Roman"/>
          <w:b/>
          <w:sz w:val="24"/>
        </w:rPr>
      </w:pPr>
      <w:r>
        <w:rPr>
          <w:rFonts w:ascii="Times New Roman" w:hAnsi="Times New Roman"/>
          <w:b/>
          <w:iCs/>
          <w:sz w:val="24"/>
        </w:rPr>
        <w:t>f)</w:t>
      </w:r>
      <w:r>
        <w:rPr>
          <w:rFonts w:ascii="Times New Roman" w:hAnsi="Times New Roman"/>
          <w:b/>
          <w:sz w:val="24"/>
        </w:rPr>
        <w:t xml:space="preserve"> fogyatékossággal élő személyek számára rendelkezésre álló helyi szolgáltatások (pl. speciális közlekedési megoldások, fogyatékossággal élő személyek nappali intézménye stb.)</w:t>
      </w: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rPr>
          <w:rFonts w:ascii="Times New Roman" w:hAnsi="Times New Roman"/>
          <w:sz w:val="24"/>
        </w:rPr>
      </w:pPr>
      <w:r>
        <w:rPr>
          <w:rFonts w:ascii="Times New Roman" w:hAnsi="Times New Roman"/>
          <w:sz w:val="24"/>
        </w:rPr>
        <w:t>A városban található néhány mozgáskorlátozott parkoló pl.: egészségügyi centrumnál, iskolánál. Továbbá egy esetben süllyesztett szegély és akadálymentes útcsatlakozás készült a parkoló és a járda között. Más speciális közlekedési megoldás nincs a településen.</w:t>
      </w:r>
    </w:p>
    <w:p w:rsidR="00795A46" w:rsidRDefault="00795A46" w:rsidP="00795A46">
      <w:pPr>
        <w:autoSpaceDE w:val="0"/>
        <w:spacing w:after="20"/>
        <w:rPr>
          <w:rFonts w:ascii="Times New Roman" w:hAnsi="Times New Roman"/>
          <w:sz w:val="24"/>
        </w:rPr>
      </w:pPr>
      <w:r>
        <w:rPr>
          <w:rFonts w:ascii="Times New Roman" w:hAnsi="Times New Roman"/>
          <w:sz w:val="24"/>
        </w:rPr>
        <w:t>Kifejezetten csak a fogyatékossággal élő személyek számára létesített nappali ellátást biztosító intézmény helyben nincsen, de a közeli nagyobb városokban elérhető.</w:t>
      </w:r>
    </w:p>
    <w:p w:rsidR="00795A46" w:rsidRDefault="00795A46" w:rsidP="00795A46">
      <w:pPr>
        <w:rPr>
          <w:rFonts w:ascii="Times New Roman" w:hAnsi="Times New Roman"/>
        </w:rPr>
      </w:pPr>
    </w:p>
    <w:p w:rsidR="00795A46" w:rsidRDefault="00795A46" w:rsidP="00795A46">
      <w:pPr>
        <w:autoSpaceDE w:val="0"/>
        <w:spacing w:after="20"/>
        <w:ind w:firstLine="142"/>
        <w:rPr>
          <w:rFonts w:ascii="Times New Roman" w:hAnsi="Times New Roman"/>
          <w:b/>
          <w:sz w:val="24"/>
        </w:rPr>
      </w:pPr>
      <w:r>
        <w:rPr>
          <w:rFonts w:ascii="Times New Roman" w:hAnsi="Times New Roman"/>
          <w:b/>
          <w:iCs/>
          <w:sz w:val="24"/>
        </w:rPr>
        <w:t>g)</w:t>
      </w:r>
      <w:r>
        <w:rPr>
          <w:rFonts w:ascii="Times New Roman" w:hAnsi="Times New Roman"/>
          <w:b/>
          <w:sz w:val="24"/>
        </w:rPr>
        <w:t xml:space="preserve"> előnyben részesítés (hátránykompenzáló juttatások, szolgáltatások)</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A települési önkormányzat tulajdonában álló ingatlanban helyet biztosítunk a mozgáskorlátozottakat képviselő helyi szervezetek számára, amely működésüket segítő infrastrukturális hátteret biztosít nekik. </w:t>
      </w:r>
    </w:p>
    <w:p w:rsidR="00795A46" w:rsidRDefault="00795A46" w:rsidP="00795A46">
      <w:pPr>
        <w:rPr>
          <w:rFonts w:ascii="Times New Roman" w:hAnsi="Times New Roman"/>
          <w:sz w:val="24"/>
        </w:rPr>
      </w:pPr>
      <w:r>
        <w:rPr>
          <w:rFonts w:ascii="Times New Roman" w:hAnsi="Times New Roman"/>
          <w:sz w:val="24"/>
        </w:rPr>
        <w:t>A városi könyvtárban lehetőség van hangoskönyvek kölcsönzésére vagy azok helyben történő olvasására, használatára. A könyvtár a gyengénlátó olvasóközönség számára egy olvasógépet szerzett be. Az új könyvek beszerzésénél nagy gondot fordítanak arra, hogy minél több, viszonylag nagy betűmérettel nyomtatott un. „öregbetűs” könyvet vásároljanak a látássérültek illetve az idősek számára.</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p>
    <w:p w:rsidR="00795A46" w:rsidRDefault="00795A46" w:rsidP="00795A46">
      <w:pPr>
        <w:rPr>
          <w:rFonts w:ascii="Times New Roman" w:hAnsi="Times New Roman"/>
          <w:b/>
          <w:sz w:val="24"/>
        </w:rPr>
      </w:pPr>
      <w:r>
        <w:rPr>
          <w:rFonts w:ascii="Times New Roman" w:hAnsi="Times New Roman"/>
          <w:b/>
          <w:sz w:val="24"/>
        </w:rPr>
        <w:t>7.4 Fogyatékossággal élők sajátos igényeinek kielégítését célzó programok a településen</w:t>
      </w:r>
    </w:p>
    <w:p w:rsidR="00795A46" w:rsidRDefault="00795A46" w:rsidP="00795A46">
      <w:pPr>
        <w:rPr>
          <w:rFonts w:ascii="Times New Roman" w:hAnsi="Times New Roman"/>
          <w:sz w:val="24"/>
        </w:rPr>
      </w:pPr>
    </w:p>
    <w:p w:rsidR="00795A46" w:rsidRDefault="00795A46" w:rsidP="00795A46">
      <w:pPr>
        <w:rPr>
          <w:rFonts w:ascii="Times New Roman" w:hAnsi="Times New Roman"/>
          <w:b/>
          <w:sz w:val="24"/>
        </w:rPr>
      </w:pPr>
      <w:r>
        <w:rPr>
          <w:rFonts w:ascii="Times New Roman" w:hAnsi="Times New Roman"/>
          <w:sz w:val="24"/>
        </w:rPr>
        <w:t xml:space="preserve">A településen nem ismert olyan programoknak a tervezése és megvalósítása, amely kizárólag a helyben élő fogyatékossággal rendelkező személyek számára nyújt valamilyen speciális szolgáltatást, lehetőséget. </w:t>
      </w:r>
    </w:p>
    <w:p w:rsidR="00795A46" w:rsidRDefault="00795A46" w:rsidP="00795A46">
      <w:pPr>
        <w:rPr>
          <w:rFonts w:ascii="Times New Roman" w:hAnsi="Times New Roman"/>
          <w:b/>
          <w:sz w:val="24"/>
        </w:rPr>
      </w:pPr>
    </w:p>
    <w:p w:rsidR="00795A46" w:rsidRDefault="00795A46" w:rsidP="00795A46">
      <w:pPr>
        <w:rPr>
          <w:rFonts w:ascii="Times New Roman" w:hAnsi="Times New Roman"/>
          <w:b/>
          <w:sz w:val="24"/>
        </w:rPr>
      </w:pPr>
    </w:p>
    <w:p w:rsidR="00795A46" w:rsidRDefault="00795A46" w:rsidP="00795A46">
      <w:pPr>
        <w:rPr>
          <w:rFonts w:ascii="Times New Roman" w:hAnsi="Times New Roman"/>
          <w:b/>
          <w:color w:val="000000" w:themeColor="text1"/>
          <w:sz w:val="24"/>
        </w:rPr>
      </w:pPr>
      <w:r>
        <w:rPr>
          <w:rFonts w:ascii="Times New Roman" w:hAnsi="Times New Roman"/>
          <w:b/>
          <w:color w:val="000000" w:themeColor="text1"/>
          <w:sz w:val="24"/>
        </w:rPr>
        <w:t>7.5 A fogyatékossággal élőket helyi szinten fokozottan érintő társadalmi problémák és a felszámolásukra irányuló kezdeményezések</w:t>
      </w:r>
    </w:p>
    <w:p w:rsidR="00795A46" w:rsidRDefault="00795A46" w:rsidP="00795A46">
      <w:pPr>
        <w:rPr>
          <w:rFonts w:ascii="Times New Roman" w:hAnsi="Times New Roman"/>
          <w:b/>
          <w:sz w:val="24"/>
        </w:rPr>
      </w:pPr>
    </w:p>
    <w:p w:rsidR="00795A46" w:rsidRDefault="00795A46" w:rsidP="00795A46">
      <w:pPr>
        <w:rPr>
          <w:rFonts w:ascii="Times New Roman" w:hAnsi="Times New Roman"/>
          <w:b/>
          <w:sz w:val="24"/>
        </w:rPr>
      </w:pPr>
    </w:p>
    <w:p w:rsidR="00795A46" w:rsidRDefault="00795A46" w:rsidP="00795A46">
      <w:pPr>
        <w:rPr>
          <w:rFonts w:ascii="Times New Roman" w:hAnsi="Times New Roman"/>
          <w:sz w:val="24"/>
        </w:rPr>
      </w:pPr>
      <w:r>
        <w:rPr>
          <w:rFonts w:ascii="Times New Roman" w:hAnsi="Times New Roman"/>
          <w:sz w:val="24"/>
        </w:rPr>
        <w:t xml:space="preserve">A fogyatékossággal élő személyek mindennapjait leginkább befolyásoló, és életminőségüket leginkább meghatározó problémák egyike a társadalomból való kirekesztettség-érzésük, amit helyben a közösségi programok akadálymentes helyszíneken való megszervezésével tudunk megszüntetni. Évtizedek óta probléma a helyi kereskedelmi egységek fizikai akadálymentesítettségének elmaradása, ami azt jelenti, hogy a városban csak három nagy élelmiszerboltba lehet bejutni kerekesszékkel, de pl. a virágboltok, a zöldségesek, a hentesüzletek, a ruházati- és a háztartási vegyiárukat forgalmazó üzletek alkalmatlanok a kerekesszékes vagy babakocsis bejutásra. A kereskedelmi egységek tulajdonosainak meg kell látniuk a lehetséges vásárlót a kerekesszékkel közlekedők személyében is. </w:t>
      </w:r>
    </w:p>
    <w:p w:rsidR="00795A46" w:rsidRDefault="00795A46" w:rsidP="00795A46">
      <w:pPr>
        <w:rPr>
          <w:rFonts w:ascii="Times New Roman" w:hAnsi="Times New Roman"/>
          <w:b/>
          <w:sz w:val="24"/>
        </w:rPr>
      </w:pPr>
    </w:p>
    <w:p w:rsidR="00795A46" w:rsidRDefault="00795A46" w:rsidP="00795A46">
      <w:pPr>
        <w:rPr>
          <w:rFonts w:ascii="Times New Roman" w:hAnsi="Times New Roman"/>
          <w:b/>
          <w:sz w:val="24"/>
        </w:rPr>
      </w:pPr>
      <w:r>
        <w:rPr>
          <w:rFonts w:ascii="Times New Roman" w:hAnsi="Times New Roman"/>
          <w:b/>
          <w:sz w:val="24"/>
        </w:rPr>
        <w:t>7.6 Következtetések: problémák beazonosítása, fejlesztési lehetőségek meghatározása</w:t>
      </w:r>
    </w:p>
    <w:p w:rsidR="00795A46" w:rsidRDefault="00795A46" w:rsidP="00795A46">
      <w:pPr>
        <w:rPr>
          <w:rFonts w:ascii="Times New Roman" w:hAnsi="Times New Roman"/>
        </w:rPr>
      </w:pPr>
    </w:p>
    <w:tbl>
      <w:tblPr>
        <w:tblW w:w="9105" w:type="dxa"/>
        <w:tblInd w:w="108" w:type="dxa"/>
        <w:tblLayout w:type="fixed"/>
        <w:tblLook w:val="04A0" w:firstRow="1" w:lastRow="0" w:firstColumn="1" w:lastColumn="0" w:noHBand="0" w:noVBand="1"/>
      </w:tblPr>
      <w:tblGrid>
        <w:gridCol w:w="4891"/>
        <w:gridCol w:w="4214"/>
      </w:tblGrid>
      <w:tr w:rsidR="00795A46" w:rsidTr="0087739A">
        <w:tc>
          <w:tcPr>
            <w:tcW w:w="9105" w:type="dxa"/>
            <w:gridSpan w:val="2"/>
            <w:tcBorders>
              <w:top w:val="single" w:sz="4" w:space="0" w:color="000000"/>
              <w:left w:val="single" w:sz="4" w:space="0" w:color="000000"/>
              <w:bottom w:val="single" w:sz="4" w:space="0" w:color="000000"/>
              <w:right w:val="single" w:sz="4" w:space="0" w:color="000000"/>
            </w:tcBorders>
          </w:tcPr>
          <w:p w:rsidR="00795A46" w:rsidRDefault="00795A46">
            <w:pPr>
              <w:snapToGrid w:val="0"/>
              <w:spacing w:line="256" w:lineRule="auto"/>
              <w:jc w:val="center"/>
              <w:rPr>
                <w:rFonts w:ascii="Times New Roman" w:hAnsi="Times New Roman"/>
                <w:color w:val="000000" w:themeColor="text1"/>
                <w:sz w:val="24"/>
              </w:rPr>
            </w:pPr>
            <w:r>
              <w:rPr>
                <w:rFonts w:ascii="Times New Roman" w:hAnsi="Times New Roman"/>
                <w:color w:val="000000" w:themeColor="text1"/>
                <w:sz w:val="24"/>
              </w:rPr>
              <w:t>A fogyatékkal élők helyzete, esélyegyenlősége vizsgálata során településünkön</w:t>
            </w:r>
          </w:p>
          <w:p w:rsidR="00795A46" w:rsidRDefault="00795A46">
            <w:pPr>
              <w:spacing w:line="256" w:lineRule="auto"/>
              <w:jc w:val="center"/>
              <w:rPr>
                <w:rFonts w:ascii="Times New Roman" w:hAnsi="Times New Roman"/>
                <w:color w:val="000000" w:themeColor="text1"/>
                <w:sz w:val="24"/>
              </w:rPr>
            </w:pPr>
          </w:p>
        </w:tc>
      </w:tr>
      <w:tr w:rsidR="00795A46" w:rsidTr="0087739A">
        <w:tc>
          <w:tcPr>
            <w:tcW w:w="4891" w:type="dxa"/>
            <w:tcBorders>
              <w:top w:val="single" w:sz="4" w:space="0" w:color="000000"/>
              <w:left w:val="single" w:sz="4" w:space="0" w:color="000000"/>
              <w:bottom w:val="single" w:sz="4" w:space="0" w:color="000000"/>
              <w:right w:val="nil"/>
            </w:tcBorders>
          </w:tcPr>
          <w:p w:rsidR="00795A46" w:rsidRDefault="00795A46">
            <w:pPr>
              <w:snapToGrid w:val="0"/>
              <w:spacing w:line="256" w:lineRule="auto"/>
              <w:jc w:val="center"/>
              <w:rPr>
                <w:rFonts w:ascii="Times New Roman" w:hAnsi="Times New Roman"/>
                <w:color w:val="000000" w:themeColor="text1"/>
                <w:sz w:val="24"/>
              </w:rPr>
            </w:pPr>
            <w:r>
              <w:rPr>
                <w:rFonts w:ascii="Times New Roman" w:hAnsi="Times New Roman"/>
                <w:color w:val="000000" w:themeColor="text1"/>
                <w:sz w:val="24"/>
              </w:rPr>
              <w:t>beazonosított problémák</w:t>
            </w:r>
          </w:p>
          <w:p w:rsidR="00795A46" w:rsidRDefault="00795A46">
            <w:pPr>
              <w:spacing w:line="256" w:lineRule="auto"/>
              <w:jc w:val="center"/>
              <w:rPr>
                <w:rFonts w:ascii="Times New Roman" w:hAnsi="Times New Roman"/>
                <w:color w:val="000000" w:themeColor="text1"/>
                <w:sz w:val="24"/>
              </w:rPr>
            </w:pPr>
          </w:p>
        </w:tc>
        <w:tc>
          <w:tcPr>
            <w:tcW w:w="4214" w:type="dxa"/>
            <w:tcBorders>
              <w:top w:val="single" w:sz="4" w:space="0" w:color="000000"/>
              <w:left w:val="single" w:sz="4" w:space="0" w:color="000000"/>
              <w:bottom w:val="single" w:sz="4" w:space="0" w:color="000000"/>
              <w:right w:val="single" w:sz="4" w:space="0" w:color="000000"/>
            </w:tcBorders>
          </w:tcPr>
          <w:p w:rsidR="00795A46" w:rsidRDefault="00795A46">
            <w:pPr>
              <w:snapToGrid w:val="0"/>
              <w:spacing w:line="256" w:lineRule="auto"/>
              <w:jc w:val="center"/>
              <w:rPr>
                <w:rFonts w:ascii="Times New Roman" w:hAnsi="Times New Roman"/>
                <w:color w:val="000000" w:themeColor="text1"/>
                <w:sz w:val="24"/>
              </w:rPr>
            </w:pPr>
            <w:r>
              <w:rPr>
                <w:rFonts w:ascii="Times New Roman" w:hAnsi="Times New Roman"/>
                <w:color w:val="000000" w:themeColor="text1"/>
                <w:sz w:val="24"/>
              </w:rPr>
              <w:t>fejlesztési lehetőségek</w:t>
            </w:r>
          </w:p>
          <w:p w:rsidR="00795A46" w:rsidRDefault="00795A46">
            <w:pPr>
              <w:spacing w:line="256" w:lineRule="auto"/>
              <w:jc w:val="center"/>
              <w:rPr>
                <w:rFonts w:ascii="Times New Roman" w:hAnsi="Times New Roman"/>
                <w:color w:val="000000" w:themeColor="text1"/>
                <w:sz w:val="24"/>
              </w:rPr>
            </w:pPr>
          </w:p>
        </w:tc>
      </w:tr>
      <w:tr w:rsidR="00795A46" w:rsidTr="0087739A">
        <w:tc>
          <w:tcPr>
            <w:tcW w:w="4891" w:type="dxa"/>
            <w:tcBorders>
              <w:top w:val="single" w:sz="4" w:space="0" w:color="000000"/>
              <w:left w:val="single" w:sz="4" w:space="0" w:color="000000"/>
              <w:bottom w:val="single" w:sz="4" w:space="0" w:color="000000"/>
              <w:right w:val="nil"/>
            </w:tcBorders>
            <w:hideMark/>
          </w:tcPr>
          <w:p w:rsidR="00795A46" w:rsidRDefault="00795A46">
            <w:pPr>
              <w:snapToGrid w:val="0"/>
              <w:spacing w:line="256" w:lineRule="auto"/>
              <w:rPr>
                <w:rFonts w:ascii="Times New Roman" w:hAnsi="Times New Roman"/>
                <w:color w:val="000000" w:themeColor="text1"/>
                <w:sz w:val="24"/>
              </w:rPr>
            </w:pPr>
            <w:r>
              <w:rPr>
                <w:rFonts w:ascii="Times New Roman" w:hAnsi="Times New Roman"/>
                <w:color w:val="000000" w:themeColor="text1"/>
                <w:sz w:val="24"/>
              </w:rPr>
              <w:t>A foglalkoztatáshoz jutás és a foglalkoztatásban való megmaradás felkészült támogató személyek vagy az akadálymentesítettség hiányában nem valósul meg.</w:t>
            </w:r>
          </w:p>
        </w:tc>
        <w:tc>
          <w:tcPr>
            <w:tcW w:w="4214" w:type="dxa"/>
            <w:tcBorders>
              <w:top w:val="single" w:sz="4" w:space="0" w:color="000000"/>
              <w:left w:val="single" w:sz="4" w:space="0" w:color="000000"/>
              <w:bottom w:val="single" w:sz="4" w:space="0" w:color="000000"/>
              <w:right w:val="single" w:sz="4" w:space="0" w:color="000000"/>
            </w:tcBorders>
            <w:hideMark/>
          </w:tcPr>
          <w:p w:rsidR="00795A46" w:rsidRDefault="00795A46">
            <w:pPr>
              <w:snapToGrid w:val="0"/>
              <w:spacing w:line="256" w:lineRule="auto"/>
              <w:rPr>
                <w:rFonts w:ascii="Times New Roman" w:hAnsi="Times New Roman"/>
                <w:color w:val="000000" w:themeColor="text1"/>
                <w:sz w:val="24"/>
              </w:rPr>
            </w:pPr>
            <w:r>
              <w:rPr>
                <w:rFonts w:ascii="Times New Roman" w:hAnsi="Times New Roman"/>
                <w:color w:val="000000" w:themeColor="text1"/>
                <w:sz w:val="24"/>
              </w:rPr>
              <w:t>Megfelelő szakértelmű segítők igénybevétele, illetve pályázati források bevonásával az akadálymentesítettség fejlesztése.</w:t>
            </w:r>
          </w:p>
        </w:tc>
      </w:tr>
      <w:tr w:rsidR="00795A46" w:rsidTr="0087739A">
        <w:tc>
          <w:tcPr>
            <w:tcW w:w="4891" w:type="dxa"/>
            <w:tcBorders>
              <w:top w:val="single" w:sz="4" w:space="0" w:color="000000"/>
              <w:left w:val="single" w:sz="4" w:space="0" w:color="000000"/>
              <w:bottom w:val="single" w:sz="4" w:space="0" w:color="000000"/>
              <w:right w:val="nil"/>
            </w:tcBorders>
            <w:hideMark/>
          </w:tcPr>
          <w:p w:rsidR="00795A46" w:rsidRDefault="00795A46">
            <w:pPr>
              <w:snapToGrid w:val="0"/>
              <w:spacing w:line="256" w:lineRule="auto"/>
              <w:rPr>
                <w:rFonts w:ascii="Times New Roman" w:hAnsi="Times New Roman"/>
                <w:color w:val="000000" w:themeColor="text1"/>
                <w:sz w:val="24"/>
              </w:rPr>
            </w:pPr>
            <w:r>
              <w:rPr>
                <w:rFonts w:ascii="Times New Roman" w:hAnsi="Times New Roman"/>
                <w:color w:val="000000" w:themeColor="text1"/>
                <w:sz w:val="24"/>
              </w:rPr>
              <w:t>Hiányzó, nem megfelelő, nem az igények szerint rangsorolt akadálymentesítettség.</w:t>
            </w:r>
          </w:p>
        </w:tc>
        <w:tc>
          <w:tcPr>
            <w:tcW w:w="4214" w:type="dxa"/>
            <w:tcBorders>
              <w:top w:val="single" w:sz="4" w:space="0" w:color="000000"/>
              <w:left w:val="single" w:sz="4" w:space="0" w:color="000000"/>
              <w:bottom w:val="single" w:sz="4" w:space="0" w:color="000000"/>
              <w:right w:val="single" w:sz="4" w:space="0" w:color="000000"/>
            </w:tcBorders>
            <w:hideMark/>
          </w:tcPr>
          <w:p w:rsidR="00795A46" w:rsidRDefault="00795A46">
            <w:pP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Az akadálymentesítés helyi tervezése, pénzforrások felkutatása, megfelelő szakértők, tanácsadók bevonása a tervezésbe. </w:t>
            </w:r>
          </w:p>
        </w:tc>
      </w:tr>
      <w:tr w:rsidR="00795A46" w:rsidTr="0087739A">
        <w:tc>
          <w:tcPr>
            <w:tcW w:w="4891" w:type="dxa"/>
            <w:tcBorders>
              <w:top w:val="single" w:sz="4" w:space="0" w:color="000000"/>
              <w:left w:val="single" w:sz="4" w:space="0" w:color="000000"/>
              <w:bottom w:val="single" w:sz="4" w:space="0" w:color="000000"/>
              <w:right w:val="nil"/>
            </w:tcBorders>
            <w:hideMark/>
          </w:tcPr>
          <w:p w:rsidR="00795A46" w:rsidRDefault="00795A46">
            <w:pPr>
              <w:snapToGrid w:val="0"/>
              <w:spacing w:line="256" w:lineRule="auto"/>
              <w:rPr>
                <w:rFonts w:ascii="Times New Roman" w:hAnsi="Times New Roman"/>
                <w:color w:val="000000" w:themeColor="text1"/>
                <w:sz w:val="24"/>
              </w:rPr>
            </w:pPr>
            <w:r>
              <w:rPr>
                <w:rFonts w:ascii="Times New Roman" w:hAnsi="Times New Roman"/>
                <w:color w:val="000000" w:themeColor="text1"/>
                <w:sz w:val="24"/>
              </w:rPr>
              <w:t>A fogyatékkal élőket foglalkoztató, önkormányzati tulajdonú épület felújításra, korszerűsítésre szorul.</w:t>
            </w:r>
          </w:p>
        </w:tc>
        <w:tc>
          <w:tcPr>
            <w:tcW w:w="4214" w:type="dxa"/>
            <w:tcBorders>
              <w:top w:val="single" w:sz="4" w:space="0" w:color="000000"/>
              <w:left w:val="single" w:sz="4" w:space="0" w:color="000000"/>
              <w:bottom w:val="single" w:sz="4" w:space="0" w:color="000000"/>
              <w:right w:val="single" w:sz="4" w:space="0" w:color="000000"/>
            </w:tcBorders>
            <w:hideMark/>
          </w:tcPr>
          <w:p w:rsidR="00795A46" w:rsidRDefault="00795A46">
            <w:pPr>
              <w:snapToGrid w:val="0"/>
              <w:spacing w:line="256" w:lineRule="auto"/>
              <w:rPr>
                <w:rFonts w:ascii="Times New Roman" w:hAnsi="Times New Roman"/>
                <w:color w:val="000000" w:themeColor="text1"/>
                <w:sz w:val="24"/>
              </w:rPr>
            </w:pPr>
            <w:r>
              <w:rPr>
                <w:rFonts w:ascii="Times New Roman" w:hAnsi="Times New Roman"/>
                <w:color w:val="000000" w:themeColor="text1"/>
                <w:sz w:val="24"/>
              </w:rPr>
              <w:t>Az ingatlan felújítására lehetőséget adó pályázati források segítségével korszerűsíteni kell a fogyatékossággal élő személyek munkavállalását biztosító épületet.</w:t>
            </w:r>
          </w:p>
        </w:tc>
      </w:tr>
      <w:tr w:rsidR="00795A46" w:rsidTr="0087739A">
        <w:tc>
          <w:tcPr>
            <w:tcW w:w="4891" w:type="dxa"/>
            <w:tcBorders>
              <w:top w:val="single" w:sz="4" w:space="0" w:color="000000"/>
              <w:left w:val="single" w:sz="4" w:space="0" w:color="000000"/>
              <w:bottom w:val="single" w:sz="4" w:space="0" w:color="000000"/>
              <w:right w:val="nil"/>
            </w:tcBorders>
            <w:hideMark/>
          </w:tcPr>
          <w:p w:rsidR="00795A46" w:rsidRDefault="00795A46">
            <w:pPr>
              <w:snapToGrid w:val="0"/>
              <w:spacing w:line="256" w:lineRule="auto"/>
              <w:rPr>
                <w:rFonts w:ascii="Times New Roman" w:hAnsi="Times New Roman"/>
                <w:color w:val="000000" w:themeColor="text1"/>
                <w:sz w:val="24"/>
              </w:rPr>
            </w:pPr>
            <w:r>
              <w:rPr>
                <w:rFonts w:ascii="Times New Roman" w:hAnsi="Times New Roman"/>
                <w:color w:val="000000" w:themeColor="text1"/>
                <w:sz w:val="24"/>
              </w:rPr>
              <w:t>A fogyatékossággal élő foglalkoztatottak száma alacsony</w:t>
            </w:r>
          </w:p>
        </w:tc>
        <w:tc>
          <w:tcPr>
            <w:tcW w:w="4214" w:type="dxa"/>
            <w:tcBorders>
              <w:top w:val="single" w:sz="4" w:space="0" w:color="000000"/>
              <w:left w:val="single" w:sz="4" w:space="0" w:color="000000"/>
              <w:bottom w:val="single" w:sz="4" w:space="0" w:color="000000"/>
              <w:right w:val="single" w:sz="4" w:space="0" w:color="000000"/>
            </w:tcBorders>
            <w:hideMark/>
          </w:tcPr>
          <w:p w:rsidR="00795A46" w:rsidRDefault="00795A46">
            <w:pPr>
              <w:snapToGrid w:val="0"/>
              <w:spacing w:line="256" w:lineRule="auto"/>
              <w:rPr>
                <w:rFonts w:ascii="Times New Roman" w:hAnsi="Times New Roman"/>
                <w:color w:val="000000" w:themeColor="text1"/>
                <w:sz w:val="24"/>
              </w:rPr>
            </w:pPr>
            <w:r>
              <w:rPr>
                <w:rFonts w:ascii="Times New Roman" w:hAnsi="Times New Roman"/>
                <w:color w:val="000000" w:themeColor="text1"/>
                <w:sz w:val="24"/>
              </w:rPr>
              <w:t>A foglalkoztatók létszámát növelni kell, erre forrásteremtés pályázat útján, vagy egyéb támogatásból.</w:t>
            </w:r>
          </w:p>
        </w:tc>
      </w:tr>
      <w:tr w:rsidR="00795A46" w:rsidTr="0087739A">
        <w:tc>
          <w:tcPr>
            <w:tcW w:w="4891" w:type="dxa"/>
            <w:tcBorders>
              <w:top w:val="single" w:sz="4" w:space="0" w:color="000000"/>
              <w:left w:val="single" w:sz="4" w:space="0" w:color="000000"/>
              <w:bottom w:val="single" w:sz="4" w:space="0" w:color="000000"/>
              <w:right w:val="nil"/>
            </w:tcBorders>
            <w:hideMark/>
          </w:tcPr>
          <w:p w:rsidR="00795A46" w:rsidRDefault="00795A46">
            <w:pPr>
              <w:snapToGrid w:val="0"/>
              <w:spacing w:line="256" w:lineRule="auto"/>
              <w:rPr>
                <w:rFonts w:ascii="Times New Roman" w:hAnsi="Times New Roman"/>
                <w:color w:val="000000" w:themeColor="text1"/>
                <w:sz w:val="24"/>
              </w:rPr>
            </w:pPr>
            <w:r>
              <w:rPr>
                <w:rFonts w:ascii="Times New Roman" w:hAnsi="Times New Roman"/>
                <w:color w:val="000000" w:themeColor="text1"/>
                <w:sz w:val="24"/>
              </w:rPr>
              <w:t>A fogyatékossággal élő személyeket foglalkoztató épület fenntartási költségei magasak.</w:t>
            </w:r>
          </w:p>
        </w:tc>
        <w:tc>
          <w:tcPr>
            <w:tcW w:w="4214" w:type="dxa"/>
            <w:tcBorders>
              <w:top w:val="single" w:sz="4" w:space="0" w:color="000000"/>
              <w:left w:val="single" w:sz="4" w:space="0" w:color="000000"/>
              <w:bottom w:val="single" w:sz="4" w:space="0" w:color="000000"/>
              <w:right w:val="single" w:sz="4" w:space="0" w:color="000000"/>
            </w:tcBorders>
            <w:hideMark/>
          </w:tcPr>
          <w:p w:rsidR="00795A46" w:rsidRDefault="00795A46">
            <w:pPr>
              <w:snapToGrid w:val="0"/>
              <w:spacing w:line="256" w:lineRule="auto"/>
              <w:rPr>
                <w:rFonts w:ascii="Times New Roman" w:hAnsi="Times New Roman"/>
                <w:color w:val="000000" w:themeColor="text1"/>
                <w:sz w:val="24"/>
              </w:rPr>
            </w:pPr>
            <w:r>
              <w:rPr>
                <w:rFonts w:ascii="Times New Roman" w:hAnsi="Times New Roman"/>
                <w:color w:val="000000" w:themeColor="text1"/>
                <w:sz w:val="24"/>
              </w:rPr>
              <w:t>Az épület fenntartási költségeit racionalizálni kell, a forrásteremtés pályázati úton lehetséges.</w:t>
            </w:r>
          </w:p>
        </w:tc>
      </w:tr>
      <w:tr w:rsidR="00795A46" w:rsidTr="0087739A">
        <w:tc>
          <w:tcPr>
            <w:tcW w:w="4891" w:type="dxa"/>
            <w:tcBorders>
              <w:top w:val="single" w:sz="4" w:space="0" w:color="000000"/>
              <w:left w:val="single" w:sz="4" w:space="0" w:color="000000"/>
              <w:bottom w:val="single" w:sz="4" w:space="0" w:color="000000"/>
              <w:right w:val="nil"/>
            </w:tcBorders>
            <w:hideMark/>
          </w:tcPr>
          <w:p w:rsidR="00795A46" w:rsidRDefault="00795A46">
            <w:pPr>
              <w:snapToGrid w:val="0"/>
              <w:spacing w:line="256" w:lineRule="auto"/>
              <w:rPr>
                <w:rFonts w:ascii="Times New Roman" w:hAnsi="Times New Roman"/>
                <w:color w:val="000000" w:themeColor="text1"/>
                <w:sz w:val="24"/>
              </w:rPr>
            </w:pPr>
            <w:r>
              <w:rPr>
                <w:rFonts w:ascii="Times New Roman" w:hAnsi="Times New Roman"/>
                <w:color w:val="000000" w:themeColor="text1"/>
                <w:sz w:val="24"/>
              </w:rPr>
              <w:t>A települési járdák és útburkolatok szintbeli hiányosságai, eltérései miatt közlekedési problémák akadályozzák a kerekesszékkel, járóbottal, vagy vakvezető bottal közlekedőket.</w:t>
            </w:r>
          </w:p>
        </w:tc>
        <w:tc>
          <w:tcPr>
            <w:tcW w:w="4214" w:type="dxa"/>
            <w:tcBorders>
              <w:top w:val="single" w:sz="4" w:space="0" w:color="000000"/>
              <w:left w:val="single" w:sz="4" w:space="0" w:color="000000"/>
              <w:bottom w:val="single" w:sz="4" w:space="0" w:color="000000"/>
              <w:right w:val="single" w:sz="4" w:space="0" w:color="000000"/>
            </w:tcBorders>
            <w:hideMark/>
          </w:tcPr>
          <w:p w:rsidR="00795A46" w:rsidRDefault="00795A46">
            <w:pPr>
              <w:snapToGrid w:val="0"/>
              <w:spacing w:line="256" w:lineRule="auto"/>
              <w:rPr>
                <w:rFonts w:ascii="Times New Roman" w:hAnsi="Times New Roman"/>
                <w:color w:val="000000" w:themeColor="text1"/>
                <w:sz w:val="24"/>
              </w:rPr>
            </w:pPr>
            <w:r>
              <w:rPr>
                <w:rFonts w:ascii="Times New Roman" w:hAnsi="Times New Roman"/>
                <w:color w:val="000000" w:themeColor="text1"/>
                <w:sz w:val="24"/>
              </w:rPr>
              <w:t>A balesetveszélyes járdaszakaszok újjáépítése és a kiemelt szegélyek süllyesztése szükséges pályázati források bevonásával.</w:t>
            </w:r>
          </w:p>
        </w:tc>
      </w:tr>
      <w:tr w:rsidR="00795A46" w:rsidTr="0087739A">
        <w:tc>
          <w:tcPr>
            <w:tcW w:w="4891" w:type="dxa"/>
            <w:tcBorders>
              <w:top w:val="single" w:sz="4" w:space="0" w:color="000000"/>
              <w:left w:val="single" w:sz="4" w:space="0" w:color="000000"/>
              <w:bottom w:val="single" w:sz="4" w:space="0" w:color="000000"/>
              <w:right w:val="nil"/>
            </w:tcBorders>
            <w:hideMark/>
          </w:tcPr>
          <w:p w:rsidR="00795A46" w:rsidRDefault="00795A46">
            <w:pPr>
              <w:snapToGrid w:val="0"/>
              <w:spacing w:line="256" w:lineRule="auto"/>
              <w:rPr>
                <w:rFonts w:ascii="Times New Roman" w:hAnsi="Times New Roman"/>
                <w:color w:val="000000" w:themeColor="text1"/>
                <w:sz w:val="24"/>
              </w:rPr>
            </w:pPr>
            <w:r>
              <w:rPr>
                <w:rFonts w:ascii="Times New Roman" w:hAnsi="Times New Roman"/>
                <w:color w:val="000000" w:themeColor="text1"/>
                <w:sz w:val="24"/>
              </w:rPr>
              <w:t>Kevesen vannak tisztában a szociális téren vagy állapotuk miatt igénybe vehető támogatásokról</w:t>
            </w:r>
          </w:p>
        </w:tc>
        <w:tc>
          <w:tcPr>
            <w:tcW w:w="4214" w:type="dxa"/>
            <w:tcBorders>
              <w:top w:val="single" w:sz="4" w:space="0" w:color="000000"/>
              <w:left w:val="single" w:sz="4" w:space="0" w:color="000000"/>
              <w:bottom w:val="single" w:sz="4" w:space="0" w:color="000000"/>
              <w:right w:val="single" w:sz="4" w:space="0" w:color="000000"/>
            </w:tcBorders>
            <w:hideMark/>
          </w:tcPr>
          <w:p w:rsidR="00795A46" w:rsidRDefault="00795A46">
            <w:pPr>
              <w:snapToGrid w:val="0"/>
              <w:spacing w:line="256" w:lineRule="auto"/>
              <w:rPr>
                <w:rFonts w:ascii="Times New Roman" w:hAnsi="Times New Roman"/>
                <w:color w:val="000000" w:themeColor="text1"/>
                <w:sz w:val="24"/>
              </w:rPr>
            </w:pPr>
            <w:r>
              <w:rPr>
                <w:rFonts w:ascii="Times New Roman" w:hAnsi="Times New Roman"/>
                <w:color w:val="000000" w:themeColor="text1"/>
                <w:sz w:val="24"/>
              </w:rPr>
              <w:t>Tájékoztatás nyújtása a szociális ellátások igénybevételének lehetőségéről.</w:t>
            </w:r>
          </w:p>
        </w:tc>
      </w:tr>
      <w:tr w:rsidR="0087739A" w:rsidRPr="00AC1E66" w:rsidTr="0087739A">
        <w:tc>
          <w:tcPr>
            <w:tcW w:w="4891" w:type="dxa"/>
            <w:tcBorders>
              <w:top w:val="single" w:sz="4" w:space="0" w:color="000000"/>
              <w:left w:val="single" w:sz="4" w:space="0" w:color="000000"/>
              <w:bottom w:val="single" w:sz="4" w:space="0" w:color="000000"/>
              <w:right w:val="nil"/>
            </w:tcBorders>
            <w:hideMark/>
          </w:tcPr>
          <w:p w:rsidR="0087739A" w:rsidRPr="0087739A" w:rsidRDefault="0087739A" w:rsidP="00CD2E2F">
            <w:pPr>
              <w:snapToGrid w:val="0"/>
              <w:spacing w:line="256" w:lineRule="auto"/>
              <w:rPr>
                <w:rFonts w:ascii="Times New Roman" w:hAnsi="Times New Roman"/>
                <w:color w:val="0070C0"/>
                <w:sz w:val="24"/>
              </w:rPr>
            </w:pPr>
            <w:r w:rsidRPr="0087739A">
              <w:rPr>
                <w:rFonts w:ascii="Times New Roman" w:hAnsi="Times New Roman"/>
                <w:color w:val="0070C0"/>
                <w:sz w:val="24"/>
              </w:rPr>
              <w:t>Az utóbbi évek tapasztalatai alapján sajnos megállapítható, hogy egyre több sajátos nevelési igényű gyermekről kell gondoskodni.</w:t>
            </w:r>
          </w:p>
          <w:p w:rsidR="0087739A" w:rsidRPr="0087739A" w:rsidRDefault="0087739A" w:rsidP="00CD2E2F">
            <w:pPr>
              <w:snapToGrid w:val="0"/>
              <w:spacing w:line="256" w:lineRule="auto"/>
              <w:rPr>
                <w:rFonts w:ascii="Times New Roman" w:hAnsi="Times New Roman"/>
                <w:color w:val="0070C0"/>
                <w:sz w:val="24"/>
              </w:rPr>
            </w:pPr>
            <w:r w:rsidRPr="0087739A">
              <w:rPr>
                <w:rFonts w:ascii="Times New Roman" w:hAnsi="Times New Roman"/>
                <w:color w:val="0070C0"/>
                <w:sz w:val="24"/>
              </w:rPr>
              <w:t>Egy sajátos nevelési igényű (SNI-s) gyermeket gondozási, nevelési szempontból két gyermekként, az egészséges gyermekekkel együtt nevelhető egy autista gyermeket három gyermekként kell figyelembe venni a korosztályának megfelelő óvodai csoportba való besorolás tekintetében.</w:t>
            </w:r>
          </w:p>
          <w:p w:rsidR="0087739A" w:rsidRPr="0087739A" w:rsidRDefault="0087739A" w:rsidP="00CD2E2F">
            <w:pPr>
              <w:snapToGrid w:val="0"/>
              <w:spacing w:line="256" w:lineRule="auto"/>
              <w:rPr>
                <w:rFonts w:ascii="Times New Roman" w:hAnsi="Times New Roman"/>
                <w:color w:val="0070C0"/>
                <w:sz w:val="24"/>
              </w:rPr>
            </w:pPr>
            <w:r w:rsidRPr="0087739A">
              <w:rPr>
                <w:rFonts w:ascii="Times New Roman" w:hAnsi="Times New Roman"/>
                <w:color w:val="0070C0"/>
                <w:sz w:val="24"/>
              </w:rPr>
              <w:t xml:space="preserve">Az egy óvodai csoportba sorolható gyermeklétszám alapján kötelező biztosítani a jogszabályban rögzített mértékű egy főre jutó négyzetméter területet, figyelemmel az egészségesek és az egészségügyi problémákkal küzdők arányára, tervet nyújtva a nehézségekkel küzdők integrációs törekvéseinek. </w:t>
            </w:r>
          </w:p>
          <w:p w:rsidR="0087739A" w:rsidRPr="0087739A" w:rsidRDefault="0087739A" w:rsidP="00CD2E2F">
            <w:pPr>
              <w:snapToGrid w:val="0"/>
              <w:spacing w:line="256" w:lineRule="auto"/>
              <w:rPr>
                <w:rFonts w:ascii="Times New Roman" w:hAnsi="Times New Roman"/>
                <w:color w:val="0070C0"/>
                <w:sz w:val="24"/>
              </w:rPr>
            </w:pPr>
            <w:r w:rsidRPr="0087739A">
              <w:rPr>
                <w:rFonts w:ascii="Times New Roman" w:hAnsi="Times New Roman"/>
                <w:color w:val="0070C0"/>
                <w:sz w:val="24"/>
              </w:rPr>
              <w:t>Jelenleg az óvoda nem rendelkezik ehhez megfelelő számú férőhellyel.</w:t>
            </w:r>
          </w:p>
        </w:tc>
        <w:tc>
          <w:tcPr>
            <w:tcW w:w="4214" w:type="dxa"/>
            <w:tcBorders>
              <w:top w:val="single" w:sz="4" w:space="0" w:color="000000"/>
              <w:left w:val="single" w:sz="4" w:space="0" w:color="000000"/>
              <w:bottom w:val="single" w:sz="4" w:space="0" w:color="000000"/>
              <w:right w:val="single" w:sz="4" w:space="0" w:color="000000"/>
            </w:tcBorders>
            <w:hideMark/>
          </w:tcPr>
          <w:p w:rsidR="0087739A" w:rsidRPr="0087739A" w:rsidRDefault="0087739A" w:rsidP="00CD2E2F">
            <w:pPr>
              <w:snapToGrid w:val="0"/>
              <w:spacing w:line="256" w:lineRule="auto"/>
              <w:rPr>
                <w:rFonts w:ascii="Times New Roman" w:hAnsi="Times New Roman"/>
                <w:color w:val="0070C0"/>
                <w:sz w:val="24"/>
              </w:rPr>
            </w:pPr>
            <w:r w:rsidRPr="0087739A">
              <w:rPr>
                <w:rFonts w:ascii="Times New Roman" w:hAnsi="Times New Roman"/>
                <w:color w:val="0070C0"/>
                <w:sz w:val="24"/>
              </w:rPr>
              <w:t>Sürgősen szükség van egy új csoportszobára az önkormányzati óvoda István király utcai feladatellátási helyén a 3 évesek kötelező óvodai nevelésének feladatellátása céljából.</w:t>
            </w:r>
          </w:p>
        </w:tc>
      </w:tr>
      <w:tr w:rsidR="0087739A" w:rsidRPr="00B46337" w:rsidTr="0087739A">
        <w:tc>
          <w:tcPr>
            <w:tcW w:w="4891" w:type="dxa"/>
            <w:tcBorders>
              <w:top w:val="single" w:sz="4" w:space="0" w:color="000000"/>
              <w:left w:val="single" w:sz="4" w:space="0" w:color="000000"/>
              <w:bottom w:val="single" w:sz="4" w:space="0" w:color="000000"/>
              <w:right w:val="nil"/>
            </w:tcBorders>
            <w:hideMark/>
          </w:tcPr>
          <w:p w:rsidR="0087739A" w:rsidRPr="0087739A" w:rsidRDefault="0087739A" w:rsidP="00CD2E2F">
            <w:pPr>
              <w:snapToGrid w:val="0"/>
              <w:spacing w:line="256" w:lineRule="auto"/>
              <w:rPr>
                <w:rFonts w:ascii="Times New Roman" w:hAnsi="Times New Roman"/>
                <w:color w:val="0070C0"/>
                <w:sz w:val="24"/>
              </w:rPr>
            </w:pPr>
            <w:r w:rsidRPr="0087739A">
              <w:rPr>
                <w:rFonts w:ascii="Times New Roman" w:hAnsi="Times New Roman"/>
                <w:color w:val="0070C0"/>
                <w:sz w:val="24"/>
              </w:rPr>
              <w:t>A fogyatékossággal élők közül sokan szociálisan rászorulók, ugyanis az otthoni élelmiszer ellátottságuk nem kielégítő, így egyre többen jogosultak a szociális étkeztetést igénybe venni, azonban a közétkeztetést ellátó korszerűtlen konyha hosszú távon nem tudja ellátni ezt a feladatot.</w:t>
            </w:r>
          </w:p>
        </w:tc>
        <w:tc>
          <w:tcPr>
            <w:tcW w:w="4214" w:type="dxa"/>
            <w:tcBorders>
              <w:top w:val="single" w:sz="4" w:space="0" w:color="000000"/>
              <w:left w:val="single" w:sz="4" w:space="0" w:color="000000"/>
              <w:bottom w:val="single" w:sz="4" w:space="0" w:color="000000"/>
              <w:right w:val="single" w:sz="4" w:space="0" w:color="000000"/>
            </w:tcBorders>
            <w:hideMark/>
          </w:tcPr>
          <w:p w:rsidR="0087739A" w:rsidRPr="0087739A" w:rsidRDefault="0087739A" w:rsidP="00CD2E2F">
            <w:pPr>
              <w:snapToGrid w:val="0"/>
              <w:spacing w:line="256" w:lineRule="auto"/>
              <w:rPr>
                <w:rFonts w:ascii="Times New Roman" w:hAnsi="Times New Roman"/>
                <w:color w:val="0070C0"/>
                <w:sz w:val="24"/>
              </w:rPr>
            </w:pPr>
            <w:r w:rsidRPr="0087739A">
              <w:rPr>
                <w:rFonts w:ascii="Times New Roman" w:hAnsi="Times New Roman"/>
                <w:color w:val="0070C0"/>
                <w:sz w:val="24"/>
              </w:rPr>
              <w:t xml:space="preserve">A közétkeztetés korszerűsítése: a település napközi konyhájának felújítása, technológiai és energetikai korszerűsítése a hatékonyabb ellátás és a megnövekedett kapacitás-igények kiszolgálása érdekében. </w:t>
            </w:r>
          </w:p>
        </w:tc>
      </w:tr>
      <w:tr w:rsidR="0087739A" w:rsidRPr="00AC1E66" w:rsidTr="0087739A">
        <w:tc>
          <w:tcPr>
            <w:tcW w:w="4891" w:type="dxa"/>
            <w:tcBorders>
              <w:top w:val="single" w:sz="4" w:space="0" w:color="000000"/>
              <w:left w:val="single" w:sz="4" w:space="0" w:color="000000"/>
              <w:bottom w:val="single" w:sz="4" w:space="0" w:color="000000"/>
              <w:right w:val="nil"/>
            </w:tcBorders>
            <w:hideMark/>
          </w:tcPr>
          <w:p w:rsidR="0087739A" w:rsidRPr="0087739A" w:rsidRDefault="0087739A" w:rsidP="0087739A">
            <w:pPr>
              <w:snapToGrid w:val="0"/>
              <w:spacing w:line="256" w:lineRule="auto"/>
              <w:rPr>
                <w:rFonts w:ascii="Times New Roman" w:hAnsi="Times New Roman"/>
                <w:color w:val="0070C0"/>
                <w:sz w:val="24"/>
              </w:rPr>
            </w:pPr>
            <w:r w:rsidRPr="0087739A">
              <w:rPr>
                <w:rFonts w:ascii="Times New Roman" w:hAnsi="Times New Roman"/>
                <w:color w:val="0070C0"/>
                <w:sz w:val="24"/>
              </w:rPr>
              <w:t>A városi programlehetőségek tartalmi és mennyiségi vonatkozásban további fejlesztést igényelnek, és növelni kell a civil szervezetek valamint a lakosság szerepvállalását is a rendezvénykínálat megvalósításában. A programkínálat minőségi és mennyiségi tulajdonságainak javítása érdekében annak kiterjesztésére, továbbá a társadalmi aktivitás ösztönzésére lenne szükség.</w:t>
            </w:r>
          </w:p>
          <w:p w:rsidR="0087739A" w:rsidRPr="0087739A" w:rsidRDefault="0087739A" w:rsidP="0087739A">
            <w:pPr>
              <w:snapToGrid w:val="0"/>
              <w:spacing w:line="256" w:lineRule="auto"/>
              <w:rPr>
                <w:rFonts w:ascii="Times New Roman" w:hAnsi="Times New Roman"/>
                <w:color w:val="0070C0"/>
                <w:sz w:val="24"/>
              </w:rPr>
            </w:pPr>
            <w:r w:rsidRPr="0087739A">
              <w:rPr>
                <w:rFonts w:ascii="Times New Roman" w:hAnsi="Times New Roman"/>
                <w:color w:val="0070C0"/>
                <w:sz w:val="24"/>
              </w:rPr>
              <w:t>A bővülő programlehetőségek, a szociális tevékenységek iránti megnövekedett társadalmi igények újabb közösségi és neutrális terek kialakítását, valamint a meglévők bővítését, fejlesztését, és minőségi tartalommal való megtöltését indokolják. Kijelenthető tehát, hogy az azonosított problémák között igen nagy fajsúllyal jelent meg a közösségi terek kulturális-infrastrukturális deficite.</w:t>
            </w:r>
          </w:p>
        </w:tc>
        <w:tc>
          <w:tcPr>
            <w:tcW w:w="4214" w:type="dxa"/>
            <w:tcBorders>
              <w:top w:val="single" w:sz="4" w:space="0" w:color="000000"/>
              <w:left w:val="single" w:sz="4" w:space="0" w:color="000000"/>
              <w:bottom w:val="single" w:sz="4" w:space="0" w:color="000000"/>
              <w:right w:val="single" w:sz="4" w:space="0" w:color="000000"/>
            </w:tcBorders>
            <w:hideMark/>
          </w:tcPr>
          <w:p w:rsidR="0087739A" w:rsidRPr="0087739A" w:rsidRDefault="0087739A" w:rsidP="0087739A">
            <w:pPr>
              <w:snapToGrid w:val="0"/>
              <w:spacing w:line="256" w:lineRule="auto"/>
              <w:rPr>
                <w:rFonts w:ascii="Times New Roman" w:hAnsi="Times New Roman"/>
                <w:color w:val="0070C0"/>
                <w:sz w:val="24"/>
              </w:rPr>
            </w:pPr>
            <w:r w:rsidRPr="0087739A">
              <w:rPr>
                <w:rFonts w:ascii="Times New Roman" w:hAnsi="Times New Roman"/>
                <w:color w:val="0070C0"/>
                <w:sz w:val="24"/>
              </w:rPr>
              <w:t xml:space="preserve">A fogyatékkal élőket érintő kulturális, közösségi, szociális, munkaerő-piaci, bűnmegelőzési, mentálhigiénés egészségmegőrző és egyéb, a társadalmat aktuálisan érintő témájú programok kínálatának színesítése, annak érdekében, hogy mindenki megtalálja saját maga és környezete számára a legalkalmasabb programot, legyen szó workshopról, kiállításról, tanácsadásról, falunapról, segítő szolgáltatásról. </w:t>
            </w:r>
          </w:p>
          <w:p w:rsidR="0087739A" w:rsidRPr="0087739A" w:rsidRDefault="0087739A" w:rsidP="00CD2E2F">
            <w:pPr>
              <w:snapToGrid w:val="0"/>
              <w:spacing w:line="256" w:lineRule="auto"/>
              <w:rPr>
                <w:rFonts w:ascii="Times New Roman" w:hAnsi="Times New Roman"/>
                <w:color w:val="0070C0"/>
                <w:sz w:val="24"/>
              </w:rPr>
            </w:pPr>
          </w:p>
        </w:tc>
      </w:tr>
    </w:tbl>
    <w:p w:rsidR="00795A46" w:rsidRDefault="00795A46" w:rsidP="00795A46">
      <w:pPr>
        <w:rPr>
          <w:color w:val="000000" w:themeColor="text1"/>
        </w:rPr>
      </w:pPr>
    </w:p>
    <w:p w:rsidR="00795A46" w:rsidRDefault="00795A46">
      <w:pPr>
        <w:suppressAutoHyphens w:val="0"/>
        <w:spacing w:after="160" w:line="259" w:lineRule="auto"/>
        <w:jc w:val="left"/>
      </w:pPr>
      <w:r>
        <w:br w:type="page"/>
      </w:r>
    </w:p>
    <w:p w:rsidR="00795A46" w:rsidRDefault="00795A46" w:rsidP="00795A46">
      <w:pPr>
        <w:pStyle w:val="Cmsor3"/>
        <w:pageBreakBefore/>
        <w:jc w:val="both"/>
        <w:rPr>
          <w:rFonts w:ascii="Times New Roman" w:hAnsi="Times New Roman"/>
          <w:szCs w:val="24"/>
        </w:rPr>
      </w:pPr>
      <w:bookmarkStart w:id="119" w:name="__RefHeading__263_1906745769"/>
      <w:bookmarkStart w:id="120" w:name="_Toc49500653"/>
      <w:bookmarkStart w:id="121" w:name="_Toc119566842"/>
      <w:bookmarkEnd w:id="119"/>
      <w:r>
        <w:rPr>
          <w:rFonts w:ascii="Times New Roman" w:hAnsi="Times New Roman"/>
          <w:szCs w:val="24"/>
        </w:rPr>
        <w:t>8. Helyi partnerség, lakossági önszerveződések, civil szervezetek és for-profit szereplők társadalmi felelősségvállalása</w:t>
      </w:r>
      <w:bookmarkEnd w:id="120"/>
      <w:bookmarkEnd w:id="121"/>
    </w:p>
    <w:p w:rsidR="00795A46" w:rsidRDefault="00795A46" w:rsidP="00795A46">
      <w:pPr>
        <w:rPr>
          <w:rFonts w:ascii="Times New Roman" w:hAnsi="Times New Roman"/>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i/>
          <w:iCs/>
          <w:sz w:val="24"/>
        </w:rPr>
        <w:t>a)</w:t>
      </w:r>
      <w:r>
        <w:rPr>
          <w:rFonts w:ascii="Times New Roman" w:hAnsi="Times New Roman"/>
          <w:sz w:val="24"/>
        </w:rPr>
        <w:t xml:space="preserve"> </w:t>
      </w:r>
      <w:r>
        <w:rPr>
          <w:rFonts w:ascii="Times New Roman" w:hAnsi="Times New Roman"/>
          <w:b/>
          <w:sz w:val="24"/>
        </w:rPr>
        <w:t>a 3–7. pontban szereplő területeket érintő civil, egyházi szolgáltató és érdekvédelmi szervezetek, önszerveződések feltérképezése (pl. közfeladatot ellátó szervezetek száma közfeladatonként bemutatva, önkéntesek száma, partnerségi megállapodások száma stb.)</w:t>
      </w:r>
    </w:p>
    <w:p w:rsidR="00795A46" w:rsidRDefault="00795A46" w:rsidP="00795A46">
      <w:pPr>
        <w:rPr>
          <w:rFonts w:ascii="Times New Roman" w:hAnsi="Times New Roman"/>
          <w:sz w:val="24"/>
          <w:lang w:eastAsia="hu-HU"/>
        </w:rPr>
      </w:pPr>
      <w:r>
        <w:rPr>
          <w:rFonts w:ascii="Times New Roman" w:hAnsi="Times New Roman"/>
          <w:sz w:val="24"/>
        </w:rPr>
        <w:br/>
      </w:r>
      <w:r>
        <w:rPr>
          <w:rFonts w:ascii="Times New Roman" w:hAnsi="Times New Roman"/>
          <w:sz w:val="24"/>
          <w:lang w:eastAsia="hu-HU"/>
        </w:rPr>
        <w:t xml:space="preserve">Jellemző a szolgáltatásokra, hogy egymásra épülnek, egymást kiegészítik. A személyre szabott szolgáltatások biztosítását a helyi ellátórendszeren belüli koordináció, együttműködés biztosítja. </w:t>
      </w:r>
    </w:p>
    <w:p w:rsidR="00795A46" w:rsidRDefault="00795A46" w:rsidP="00795A46">
      <w:pPr>
        <w:suppressAutoHyphens w:val="0"/>
        <w:jc w:val="left"/>
        <w:rPr>
          <w:rFonts w:ascii="Times New Roman" w:hAnsi="Times New Roman"/>
          <w:sz w:val="24"/>
          <w:lang w:eastAsia="hu-HU"/>
        </w:rPr>
      </w:pPr>
      <w:r>
        <w:rPr>
          <w:rFonts w:ascii="Times New Roman" w:hAnsi="Times New Roman"/>
          <w:sz w:val="24"/>
          <w:lang w:eastAsia="hu-HU"/>
        </w:rPr>
        <w:t>Ezek pontos számáról, szervezettségéről nem állnak adatok rendelkezésünkre.</w:t>
      </w:r>
    </w:p>
    <w:p w:rsidR="00795A46" w:rsidRDefault="00795A46" w:rsidP="00795A46">
      <w:pPr>
        <w:rPr>
          <w:rFonts w:ascii="Times New Roman" w:hAnsi="Times New Roman"/>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i/>
          <w:iCs/>
          <w:sz w:val="24"/>
        </w:rPr>
        <w:t>b)</w:t>
      </w:r>
      <w:r>
        <w:rPr>
          <w:rFonts w:ascii="Times New Roman" w:hAnsi="Times New Roman"/>
          <w:b/>
          <w:sz w:val="24"/>
        </w:rPr>
        <w:t xml:space="preserve"> helyi önkormányzati, nemzetiségi önkormányzati, egyházi és civil szektor közötti partnerség bemutatása.</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 xml:space="preserve">Az önkormányzati - nemzetiségi önkormányzati együttműködést kétoldalú megállapodás szabályozza. Az együttműködés pénzügyekhez kapcsolódó adminisztrációs feladatok ellátására, rendezvények lebonyolítására is kiterjed. Biztosítja a működési feltételeit, a városban elérhető közszolgáltatásokhoz történő egyenlő esélyű hozzáférést és támogatja a szellemi és tárgyi örökségük védelmét. Csorváson az utóbbi évtizedben megerősödtek a civil szervezetek, és munkájukat agilis, a település érdekeit figyelembe vevő vezetők irányítják. Az önkormányzat lehetőségei szerint, munkájukat segítve támogatásban részesíti őket. A civil szervezetek esetében a Képviselő-testület szakmai munkájuk függvényében pályázati úton támogatja rendezvényeiket (sporttámogatás, városi rendezvények, nemzetközi kapcsolatok, a helyi kultúra és művészetek támogatása). A szlovák és roma nemzetiségi önkormányzatok munkáját a törvényi előírás függvényében segíti, bevonja a véleménynyilvánítás, a települést érintő ügyek döntéseinek előkészítésébe. Elsősorban kulturális területen kapcsolódnak a város életébe és hagyományápoló tevékenységükkel gazdagítják a helyi civil életet. </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Az egyházi szervezetek főleg hitoktatási szerepet töltenek be a város életében az oktatási intézményekben kifejtett tevékenységük által is. Városi rendezvényeken együttműködnek az önkormányzattal. Erősnek mondható az önkormányzat és a civil szervezetek kapcsolata, továbbá jó az együttműködés egyház-önkormányzati intézmények között, mely megnyilvánul az eredményekben, sikeres rendezvényekben.</w:t>
      </w:r>
    </w:p>
    <w:p w:rsidR="00795A46" w:rsidRDefault="00795A46" w:rsidP="00795A46">
      <w:pPr>
        <w:rPr>
          <w:rFonts w:ascii="Times New Roman" w:hAnsi="Times New Roman"/>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i/>
          <w:iCs/>
          <w:sz w:val="24"/>
        </w:rPr>
        <w:t>c)</w:t>
      </w:r>
      <w:r>
        <w:rPr>
          <w:rFonts w:ascii="Times New Roman" w:hAnsi="Times New Roman"/>
          <w:b/>
          <w:sz w:val="24"/>
        </w:rPr>
        <w:t xml:space="preserve"> önkormányzatok közötti, illetve térségi, területi társulásokkal való partnerség</w:t>
      </w:r>
    </w:p>
    <w:p w:rsidR="00795A46" w:rsidRDefault="00795A46" w:rsidP="00795A46">
      <w:pPr>
        <w:suppressAutoHyphens w:val="0"/>
        <w:rPr>
          <w:rFonts w:ascii="Times New Roman" w:hAnsi="Times New Roman"/>
          <w:sz w:val="24"/>
          <w:lang w:eastAsia="hu-HU"/>
        </w:rPr>
      </w:pP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Az önkormányzat a város érdekeit szem előtt tartva több területen is együttműködik a térség településeivel. Elsősorban szociális területen erős az együttműködés, az Orosházi Kistérség Egyesített Gyermekjóléti és Családsegítő Szolgálatával. Több önkormányzat együttműködésével oldják meg a hulladékgazdálkodás helyzetének javítását is.</w:t>
      </w:r>
    </w:p>
    <w:p w:rsidR="00795A46" w:rsidRDefault="00795A46" w:rsidP="00795A46">
      <w:pPr>
        <w:rPr>
          <w:rFonts w:ascii="Times New Roman" w:hAnsi="Times New Roman"/>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i/>
          <w:iCs/>
          <w:sz w:val="24"/>
        </w:rPr>
        <w:t>d)</w:t>
      </w:r>
      <w:r>
        <w:rPr>
          <w:rFonts w:ascii="Times New Roman" w:hAnsi="Times New Roman"/>
          <w:b/>
          <w:sz w:val="24"/>
        </w:rPr>
        <w:t xml:space="preserve"> a nemzetiségi önkormányzatok célcsoportokkal kapcsolatos esélyegyenlőségi tevékenysége</w:t>
      </w:r>
    </w:p>
    <w:p w:rsidR="00795A46" w:rsidRDefault="00795A46" w:rsidP="00795A46">
      <w:pPr>
        <w:suppressAutoHyphens w:val="0"/>
        <w:rPr>
          <w:rFonts w:ascii="Times New Roman" w:hAnsi="Times New Roman"/>
          <w:sz w:val="24"/>
          <w:lang w:eastAsia="hu-HU"/>
        </w:rPr>
      </w:pP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 xml:space="preserve">A nemzetiségi önkormányzatok érdekképviseletet is ellátnak, képviselik a nemzetiségük érdekeit, törekednek az esélyegyenlőség megtartására. A nemzetiségi önkormányzatok tagjai között megtalálhatók a helyi esélyegyenlőségi célcsoportok képviselői. </w:t>
      </w:r>
    </w:p>
    <w:p w:rsidR="00795A46" w:rsidRDefault="00795A46" w:rsidP="00795A46">
      <w:pPr>
        <w:rPr>
          <w:rFonts w:ascii="Times New Roman" w:hAnsi="Times New Roman"/>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i/>
          <w:iCs/>
          <w:sz w:val="24"/>
        </w:rPr>
        <w:t>e)</w:t>
      </w:r>
      <w:r>
        <w:rPr>
          <w:rFonts w:ascii="Times New Roman" w:hAnsi="Times New Roman"/>
          <w:b/>
          <w:sz w:val="24"/>
        </w:rPr>
        <w:t xml:space="preserve"> civil szervezetek célcsoportokkal kapcsolatos esélyegyenlőségi tevékenysége</w:t>
      </w:r>
    </w:p>
    <w:p w:rsidR="00795A46" w:rsidRDefault="00795A46" w:rsidP="00795A46">
      <w:pPr>
        <w:suppressAutoHyphens w:val="0"/>
        <w:rPr>
          <w:rFonts w:ascii="Times New Roman" w:hAnsi="Times New Roman"/>
          <w:sz w:val="24"/>
          <w:lang w:eastAsia="hu-HU"/>
        </w:rPr>
      </w:pP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A városban működő civil szervezetek többsége kapcsolódik, illetve részt vesz a közfeladatok ellátásában. A civil szervezetek az érintett célcsoportokkal kapcsolatosan is az esélyegyenlőség elérésére törekszik. A szervezetek alapszabályukban meghatározott módon képviselik tagságukat, társadalmi párbeszédet kezdeményeznek szükség esetén, támogatják lehetőségükhöz mérten a látókörükben élő rászoruló célcsoport tagjai</w:t>
      </w:r>
    </w:p>
    <w:p w:rsidR="00795A46" w:rsidRDefault="00795A46" w:rsidP="00795A46">
      <w:pPr>
        <w:rPr>
          <w:rFonts w:ascii="Times New Roman" w:hAnsi="Times New Roman"/>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i/>
          <w:iCs/>
          <w:sz w:val="24"/>
        </w:rPr>
        <w:t>f)</w:t>
      </w:r>
      <w:r>
        <w:rPr>
          <w:rFonts w:ascii="Times New Roman" w:hAnsi="Times New Roman"/>
          <w:b/>
          <w:sz w:val="24"/>
        </w:rPr>
        <w:t xml:space="preserve"> for-profit szereplők részvétele a helyi esélyegyenlőségi feladatok ellátásában.</w:t>
      </w:r>
    </w:p>
    <w:p w:rsidR="00795A46" w:rsidRDefault="00795A46" w:rsidP="00795A46">
      <w:pPr>
        <w:rPr>
          <w:rFonts w:ascii="Times New Roman" w:hAnsi="Times New Roman"/>
          <w:sz w:val="24"/>
        </w:rPr>
      </w:pP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 xml:space="preserve">Az önkormányzat számára fontos a helyi vállalkozások szerepvállalása, a város érdekeit figyelembe vevő intézkedéseik megtétele. Törekednek a jó partneri kapcsolat kialakítására, mely eredményeként közös akarattal tudnak lépéseket tenni az esélyegyenlőség megteremtéséért. </w:t>
      </w:r>
    </w:p>
    <w:p w:rsidR="00795A46" w:rsidRDefault="00795A46" w:rsidP="00795A46">
      <w:pPr>
        <w:pStyle w:val="Cmsor3"/>
        <w:pageBreakBefore/>
        <w:rPr>
          <w:rFonts w:ascii="Times New Roman" w:hAnsi="Times New Roman"/>
          <w:szCs w:val="24"/>
        </w:rPr>
      </w:pPr>
      <w:bookmarkStart w:id="122" w:name="__RefHeading__265_1906745769"/>
      <w:bookmarkStart w:id="123" w:name="_Toc49500654"/>
      <w:bookmarkStart w:id="124" w:name="_Toc119566843"/>
      <w:bookmarkEnd w:id="122"/>
      <w:r>
        <w:rPr>
          <w:rFonts w:ascii="Times New Roman" w:hAnsi="Times New Roman"/>
          <w:szCs w:val="24"/>
        </w:rPr>
        <w:t>9. A helyi esélyegyenlőségi program nyilvánossága</w:t>
      </w:r>
      <w:bookmarkEnd w:id="123"/>
      <w:bookmarkEnd w:id="124"/>
    </w:p>
    <w:p w:rsidR="00795A46" w:rsidRDefault="00795A46" w:rsidP="00795A46">
      <w:pPr>
        <w:autoSpaceDE w:val="0"/>
        <w:spacing w:after="20"/>
        <w:ind w:firstLine="142"/>
        <w:rPr>
          <w:rFonts w:ascii="Times New Roman" w:hAnsi="Times New Roman"/>
          <w:i/>
          <w:iCs/>
          <w:sz w:val="24"/>
        </w:rPr>
      </w:pPr>
    </w:p>
    <w:p w:rsidR="00795A46" w:rsidRDefault="00795A46" w:rsidP="00795A46">
      <w:pPr>
        <w:autoSpaceDE w:val="0"/>
        <w:spacing w:after="20"/>
        <w:rPr>
          <w:rFonts w:ascii="Times New Roman" w:hAnsi="Times New Roman"/>
          <w:b/>
          <w:sz w:val="24"/>
        </w:rPr>
      </w:pPr>
      <w:r>
        <w:rPr>
          <w:rFonts w:ascii="Times New Roman" w:hAnsi="Times New Roman"/>
          <w:b/>
          <w:i/>
          <w:iCs/>
          <w:sz w:val="24"/>
        </w:rPr>
        <w:t>a)</w:t>
      </w:r>
      <w:r>
        <w:rPr>
          <w:rFonts w:ascii="Times New Roman" w:hAnsi="Times New Roman"/>
          <w:b/>
          <w:sz w:val="24"/>
        </w:rPr>
        <w:t xml:space="preserve"> a helyzetelemzésben meghatározott esélyegyenlőségi problémák kapcsán érintett nemzetiségi önkormányzatok, egyéb partnerek (állami vagy önkormányzati intézmények, egyházak, civil szervezetek stb.) bevonásának eszközei és eljárásai a helyi esélyegyenlőségi program elkészítésének folyamatába</w:t>
      </w:r>
    </w:p>
    <w:p w:rsidR="00795A46" w:rsidRDefault="00795A46" w:rsidP="00795A46">
      <w:pPr>
        <w:rPr>
          <w:rFonts w:ascii="Times New Roman" w:hAnsi="Times New Roman"/>
          <w:sz w:val="24"/>
          <w:lang w:eastAsia="hu-HU"/>
        </w:rPr>
      </w:pPr>
      <w:r>
        <w:rPr>
          <w:rFonts w:ascii="Times New Roman" w:hAnsi="Times New Roman"/>
          <w:sz w:val="24"/>
        </w:rPr>
        <w:br/>
      </w:r>
      <w:r>
        <w:rPr>
          <w:rFonts w:ascii="Times New Roman" w:hAnsi="Times New Roman"/>
          <w:sz w:val="24"/>
          <w:lang w:eastAsia="hu-HU"/>
        </w:rPr>
        <w:t>Az adatgyűjtés folyamán összefoglaltuk a településen élők problémáit és az esélyegyenlőség biztosítása kapcsán felszínre kerülő akadályokat, problémákat. Az információgyűjtés kiterjedt a kistérségi és helyi dokumentumokra, a Csorvást érintő területekre, megismertük a megkérdezett szervezetek jellemzőit, lehetőségeit, szabályozásukat és mindazt, amit eddig tettek és tesznek a saját területükön az esélyegyenlőség biztosítása érdekében.</w:t>
      </w:r>
    </w:p>
    <w:p w:rsidR="00795A46" w:rsidRDefault="00795A46" w:rsidP="00795A46">
      <w:pPr>
        <w:autoSpaceDE w:val="0"/>
        <w:spacing w:after="20"/>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autoSpaceDE w:val="0"/>
        <w:spacing w:after="20"/>
        <w:rPr>
          <w:rFonts w:ascii="Times New Roman" w:hAnsi="Times New Roman"/>
          <w:b/>
          <w:sz w:val="24"/>
        </w:rPr>
      </w:pPr>
      <w:r>
        <w:rPr>
          <w:rFonts w:ascii="Times New Roman" w:hAnsi="Times New Roman"/>
          <w:b/>
          <w:sz w:val="24"/>
        </w:rPr>
        <w:t xml:space="preserve">b) az </w:t>
      </w:r>
      <w:r>
        <w:rPr>
          <w:rFonts w:ascii="Times New Roman" w:hAnsi="Times New Roman"/>
          <w:b/>
          <w:i/>
          <w:iCs/>
          <w:sz w:val="24"/>
        </w:rPr>
        <w:t>a)</w:t>
      </w:r>
      <w:r>
        <w:rPr>
          <w:rFonts w:ascii="Times New Roman" w:hAnsi="Times New Roman"/>
          <w:b/>
          <w:sz w:val="24"/>
        </w:rPr>
        <w:t xml:space="preserve"> pont szerinti szervezetek és a lakosság végrehajtással kapcsolatos észrevételeinek visszacsatolását szolgáló eszközök bemutatása, valamint annak rögzítése, hogy működtet-e HEP fórumot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A társadalmi partnerség és együttműködés egyik eszköze a HEP fórum szervezése. A HEP fórum segítségével a helyi állami, önkormányzati, egyházi és civil szervezetek között hatékonyabb együttműködés alakulhat ki a célcsoportok esélyegyenlőségi problémáinak beazonosításában, a problémákra adekvátan válaszló intézkedések megfogalmazásában, összehangolásában, valamint a HEP intézkedéseinek megvalósításában, megkönnyítve így az önkormányzat esélyteremtő feladatainak ellátását.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Az Csorvás Város Esélyegyenlőségi Programjának nyilvánossága a települési önkormányzat honlapján való megjelenéssel biztosított. Csorvás Város Önkormányzatának Esélyegyenlőségi Programja a Polgármesteri Hivatalban ügyfélfogadási időben bármikor a lakosok rendelkezésére áll, így a város teljes lakosságának hozzáférése biztosított a tervezett esélyegyenlőség folyamatok, tevékenységek megismerésére és a megvalósítás folyamatos ellenőrzésére.</w:t>
      </w:r>
    </w:p>
    <w:p w:rsidR="00795A46" w:rsidRDefault="00795A46" w:rsidP="00795A46">
      <w:pPr>
        <w:pStyle w:val="Cmsor2"/>
        <w:pageBreakBefore/>
        <w:rPr>
          <w:rFonts w:ascii="Times New Roman" w:hAnsi="Times New Roman"/>
        </w:rPr>
      </w:pPr>
      <w:bookmarkStart w:id="125" w:name="__RefHeading__267_1906745769"/>
      <w:bookmarkStart w:id="126" w:name="_Toc49500655"/>
      <w:bookmarkStart w:id="127" w:name="_Toc119566844"/>
      <w:bookmarkEnd w:id="125"/>
      <w:r>
        <w:rPr>
          <w:rFonts w:ascii="Times New Roman" w:hAnsi="Times New Roman"/>
        </w:rPr>
        <w:t>A Helyi Esélyegyenlőségi Program Intézkedési Terve (HEP IT)</w:t>
      </w:r>
      <w:bookmarkEnd w:id="126"/>
      <w:bookmarkEnd w:id="127"/>
    </w:p>
    <w:p w:rsidR="00795A46" w:rsidRDefault="00795A46" w:rsidP="00795A46">
      <w:pPr>
        <w:rPr>
          <w:rFonts w:ascii="Times New Roman" w:hAnsi="Times New Roman"/>
          <w:i/>
          <w:sz w:val="24"/>
        </w:rPr>
      </w:pPr>
    </w:p>
    <w:p w:rsidR="00795A46" w:rsidRDefault="00795A46" w:rsidP="00795A46">
      <w:pPr>
        <w:pStyle w:val="Nincstrkz"/>
        <w:jc w:val="both"/>
        <w:rPr>
          <w:rFonts w:ascii="Times New Roman" w:hAnsi="Times New Roman"/>
          <w:sz w:val="24"/>
          <w:szCs w:val="24"/>
        </w:rPr>
      </w:pPr>
    </w:p>
    <w:p w:rsidR="00795A46" w:rsidRDefault="00795A46" w:rsidP="00795A46">
      <w:pPr>
        <w:pStyle w:val="Cmsor3"/>
        <w:rPr>
          <w:rFonts w:ascii="Times New Roman" w:hAnsi="Times New Roman"/>
          <w:szCs w:val="24"/>
        </w:rPr>
      </w:pPr>
      <w:bookmarkStart w:id="128" w:name="__RefHeading__269_1906745769"/>
      <w:bookmarkStart w:id="129" w:name="_Toc49500656"/>
      <w:bookmarkStart w:id="130" w:name="_Toc119566845"/>
      <w:bookmarkEnd w:id="128"/>
      <w:r>
        <w:rPr>
          <w:rFonts w:ascii="Times New Roman" w:hAnsi="Times New Roman"/>
          <w:szCs w:val="24"/>
        </w:rPr>
        <w:t>1. A HEP IT részletei</w:t>
      </w:r>
      <w:bookmarkEnd w:id="129"/>
      <w:bookmarkEnd w:id="130"/>
    </w:p>
    <w:p w:rsidR="00795A46" w:rsidRDefault="00795A46" w:rsidP="00795A46">
      <w:pPr>
        <w:pStyle w:val="Cmsor4"/>
        <w:pBdr>
          <w:top w:val="none" w:sz="0" w:space="0" w:color="auto"/>
          <w:left w:val="none" w:sz="0" w:space="0" w:color="auto"/>
          <w:bottom w:val="none" w:sz="0" w:space="0" w:color="auto"/>
          <w:right w:val="none" w:sz="0" w:space="0" w:color="auto"/>
        </w:pBdr>
        <w:rPr>
          <w:rFonts w:ascii="Times New Roman" w:hAnsi="Times New Roman"/>
        </w:rPr>
      </w:pPr>
      <w:bookmarkStart w:id="131" w:name="__RefHeading__271_1906745769"/>
      <w:bookmarkStart w:id="132" w:name="__RefHeading__275_1906745769"/>
      <w:bookmarkStart w:id="133" w:name="_Toc49500657"/>
      <w:bookmarkEnd w:id="131"/>
      <w:bookmarkEnd w:id="132"/>
      <w:r>
        <w:rPr>
          <w:rFonts w:ascii="Times New Roman" w:hAnsi="Times New Roman"/>
        </w:rPr>
        <w:t>A helyzetelemzés megállapításainak összegzése</w:t>
      </w:r>
      <w:bookmarkEnd w:id="133"/>
    </w:p>
    <w:tbl>
      <w:tblPr>
        <w:tblW w:w="9930" w:type="dxa"/>
        <w:tblInd w:w="-35" w:type="dxa"/>
        <w:tblLayout w:type="fixed"/>
        <w:tblLook w:val="04A0" w:firstRow="1" w:lastRow="0" w:firstColumn="1" w:lastColumn="0" w:noHBand="0" w:noVBand="1"/>
      </w:tblPr>
      <w:tblGrid>
        <w:gridCol w:w="1591"/>
        <w:gridCol w:w="4105"/>
        <w:gridCol w:w="4234"/>
      </w:tblGrid>
      <w:tr w:rsidR="00795A46" w:rsidTr="000B527A">
        <w:trPr>
          <w:trHeight w:val="680"/>
        </w:trPr>
        <w:tc>
          <w:tcPr>
            <w:tcW w:w="1591" w:type="dxa"/>
            <w:vMerge w:val="restart"/>
            <w:tcBorders>
              <w:top w:val="single" w:sz="4" w:space="0" w:color="000000"/>
              <w:left w:val="single" w:sz="4" w:space="0" w:color="000000"/>
              <w:bottom w:val="single" w:sz="4" w:space="0" w:color="000000"/>
              <w:right w:val="nil"/>
            </w:tcBorders>
            <w:vAlign w:val="center"/>
            <w:hideMark/>
          </w:tcPr>
          <w:p w:rsidR="00795A46" w:rsidRDefault="00795A46">
            <w:pPr>
              <w:snapToGrid w:val="0"/>
              <w:spacing w:line="256" w:lineRule="auto"/>
              <w:jc w:val="center"/>
              <w:rPr>
                <w:rFonts w:ascii="Times New Roman" w:hAnsi="Times New Roman"/>
                <w:sz w:val="24"/>
              </w:rPr>
            </w:pPr>
            <w:r>
              <w:rPr>
                <w:rFonts w:ascii="Times New Roman" w:hAnsi="Times New Roman"/>
                <w:sz w:val="24"/>
              </w:rPr>
              <w:t>Célcsoport</w:t>
            </w:r>
          </w:p>
        </w:tc>
        <w:tc>
          <w:tcPr>
            <w:tcW w:w="8339" w:type="dxa"/>
            <w:gridSpan w:val="2"/>
            <w:tcBorders>
              <w:top w:val="single" w:sz="4" w:space="0" w:color="000000"/>
              <w:left w:val="single" w:sz="4" w:space="0" w:color="000000"/>
              <w:bottom w:val="single" w:sz="4" w:space="0" w:color="000000"/>
              <w:right w:val="single" w:sz="4" w:space="0" w:color="000000"/>
            </w:tcBorders>
            <w:vAlign w:val="center"/>
            <w:hideMark/>
          </w:tcPr>
          <w:p w:rsidR="00795A46" w:rsidRDefault="00795A46">
            <w:pPr>
              <w:snapToGrid w:val="0"/>
              <w:spacing w:line="256" w:lineRule="auto"/>
              <w:jc w:val="center"/>
              <w:rPr>
                <w:rFonts w:ascii="Times New Roman" w:hAnsi="Times New Roman"/>
                <w:sz w:val="24"/>
              </w:rPr>
            </w:pPr>
            <w:r>
              <w:rPr>
                <w:rFonts w:ascii="Times New Roman" w:hAnsi="Times New Roman"/>
                <w:sz w:val="24"/>
              </w:rPr>
              <w:t>Következtetések</w:t>
            </w:r>
          </w:p>
        </w:tc>
      </w:tr>
      <w:tr w:rsidR="00795A46" w:rsidTr="000B527A">
        <w:trPr>
          <w:trHeight w:val="680"/>
        </w:trPr>
        <w:tc>
          <w:tcPr>
            <w:tcW w:w="1591" w:type="dxa"/>
            <w:vMerge/>
            <w:tcBorders>
              <w:top w:val="single" w:sz="4" w:space="0" w:color="000000"/>
              <w:left w:val="single" w:sz="4" w:space="0" w:color="000000"/>
              <w:bottom w:val="single" w:sz="4" w:space="0" w:color="000000"/>
              <w:right w:val="nil"/>
            </w:tcBorders>
            <w:vAlign w:val="center"/>
            <w:hideMark/>
          </w:tcPr>
          <w:p w:rsidR="00795A46" w:rsidRDefault="00795A46">
            <w:pPr>
              <w:suppressAutoHyphens w:val="0"/>
              <w:spacing w:line="256" w:lineRule="auto"/>
              <w:jc w:val="left"/>
              <w:rPr>
                <w:rFonts w:ascii="Times New Roman" w:hAnsi="Times New Roman"/>
                <w:sz w:val="24"/>
              </w:rPr>
            </w:pPr>
          </w:p>
        </w:tc>
        <w:tc>
          <w:tcPr>
            <w:tcW w:w="4105" w:type="dxa"/>
            <w:tcBorders>
              <w:top w:val="single" w:sz="4" w:space="0" w:color="000000"/>
              <w:left w:val="single" w:sz="4" w:space="0" w:color="000000"/>
              <w:bottom w:val="single" w:sz="4" w:space="0" w:color="000000"/>
              <w:right w:val="nil"/>
            </w:tcBorders>
            <w:vAlign w:val="center"/>
            <w:hideMark/>
          </w:tcPr>
          <w:p w:rsidR="00795A46" w:rsidRDefault="00795A46">
            <w:pPr>
              <w:snapToGrid w:val="0"/>
              <w:spacing w:line="256" w:lineRule="auto"/>
              <w:jc w:val="center"/>
              <w:rPr>
                <w:rFonts w:ascii="Times New Roman" w:hAnsi="Times New Roman"/>
                <w:i/>
                <w:sz w:val="24"/>
              </w:rPr>
            </w:pPr>
            <w:r>
              <w:rPr>
                <w:rFonts w:ascii="Times New Roman" w:hAnsi="Times New Roman"/>
                <w:i/>
                <w:sz w:val="24"/>
              </w:rPr>
              <w:t xml:space="preserve">problémák beazonosítása </w:t>
            </w:r>
          </w:p>
          <w:p w:rsidR="00795A46" w:rsidRDefault="00795A46">
            <w:pPr>
              <w:spacing w:line="256" w:lineRule="auto"/>
              <w:jc w:val="center"/>
              <w:rPr>
                <w:rFonts w:ascii="Times New Roman" w:hAnsi="Times New Roman"/>
                <w:i/>
                <w:sz w:val="24"/>
              </w:rPr>
            </w:pPr>
            <w:r>
              <w:rPr>
                <w:rFonts w:ascii="Times New Roman" w:hAnsi="Times New Roman"/>
                <w:i/>
                <w:sz w:val="24"/>
              </w:rPr>
              <w:t>rövid megnevezéssel</w:t>
            </w:r>
          </w:p>
        </w:tc>
        <w:tc>
          <w:tcPr>
            <w:tcW w:w="4234" w:type="dxa"/>
            <w:tcBorders>
              <w:top w:val="single" w:sz="4" w:space="0" w:color="000000"/>
              <w:left w:val="single" w:sz="4" w:space="0" w:color="000000"/>
              <w:bottom w:val="single" w:sz="4" w:space="0" w:color="000000"/>
              <w:right w:val="single" w:sz="4" w:space="0" w:color="000000"/>
            </w:tcBorders>
            <w:vAlign w:val="center"/>
            <w:hideMark/>
          </w:tcPr>
          <w:p w:rsidR="00795A46" w:rsidRDefault="00795A46">
            <w:pPr>
              <w:snapToGrid w:val="0"/>
              <w:spacing w:line="256" w:lineRule="auto"/>
              <w:jc w:val="center"/>
              <w:rPr>
                <w:rFonts w:ascii="Times New Roman" w:hAnsi="Times New Roman"/>
                <w:i/>
                <w:sz w:val="24"/>
              </w:rPr>
            </w:pPr>
            <w:r>
              <w:rPr>
                <w:rFonts w:ascii="Times New Roman" w:hAnsi="Times New Roman"/>
                <w:i/>
                <w:sz w:val="24"/>
              </w:rPr>
              <w:t xml:space="preserve">fejlesztési lehetőségek meghatározása </w:t>
            </w:r>
          </w:p>
          <w:p w:rsidR="00795A46" w:rsidRDefault="00795A46">
            <w:pPr>
              <w:spacing w:line="256" w:lineRule="auto"/>
              <w:jc w:val="center"/>
              <w:rPr>
                <w:rFonts w:ascii="Times New Roman" w:hAnsi="Times New Roman"/>
                <w:i/>
                <w:sz w:val="24"/>
              </w:rPr>
            </w:pPr>
            <w:r>
              <w:rPr>
                <w:rFonts w:ascii="Times New Roman" w:hAnsi="Times New Roman"/>
                <w:i/>
                <w:sz w:val="24"/>
              </w:rPr>
              <w:t>rövid címmel</w:t>
            </w:r>
          </w:p>
        </w:tc>
      </w:tr>
      <w:tr w:rsidR="00795A46" w:rsidTr="000B527A">
        <w:trPr>
          <w:trHeight w:val="680"/>
        </w:trPr>
        <w:tc>
          <w:tcPr>
            <w:tcW w:w="1591" w:type="dxa"/>
            <w:tcBorders>
              <w:top w:val="single" w:sz="4" w:space="0" w:color="000000"/>
              <w:left w:val="single" w:sz="4" w:space="0" w:color="000000"/>
              <w:bottom w:val="single" w:sz="4" w:space="0" w:color="000000"/>
              <w:right w:val="nil"/>
            </w:tcBorders>
            <w:vAlign w:val="center"/>
            <w:hideMark/>
          </w:tcPr>
          <w:p w:rsidR="00795A46" w:rsidRDefault="00795A46">
            <w:pPr>
              <w:snapToGrid w:val="0"/>
              <w:spacing w:line="256" w:lineRule="auto"/>
              <w:jc w:val="center"/>
              <w:rPr>
                <w:rFonts w:ascii="Times New Roman" w:hAnsi="Times New Roman"/>
                <w:sz w:val="24"/>
              </w:rPr>
            </w:pPr>
            <w:r>
              <w:rPr>
                <w:rFonts w:ascii="Times New Roman" w:hAnsi="Times New Roman"/>
                <w:sz w:val="24"/>
              </w:rPr>
              <w:t>Romák és mélyszegénységben élők</w:t>
            </w:r>
          </w:p>
        </w:tc>
        <w:tc>
          <w:tcPr>
            <w:tcW w:w="4105" w:type="dxa"/>
            <w:tcBorders>
              <w:top w:val="single" w:sz="4" w:space="0" w:color="000000"/>
              <w:left w:val="single" w:sz="4" w:space="0" w:color="000000"/>
              <w:bottom w:val="single" w:sz="4" w:space="0" w:color="000000"/>
              <w:right w:val="nil"/>
            </w:tcBorders>
            <w:vAlign w:val="center"/>
            <w:hideMark/>
          </w:tcPr>
          <w:p w:rsidR="00795A46" w:rsidRDefault="00795A46">
            <w:pPr>
              <w:snapToGrid w:val="0"/>
              <w:spacing w:line="256" w:lineRule="auto"/>
              <w:rPr>
                <w:rFonts w:ascii="Times New Roman" w:hAnsi="Times New Roman"/>
                <w:sz w:val="24"/>
              </w:rPr>
            </w:pPr>
            <w:r>
              <w:rPr>
                <w:rFonts w:ascii="Times New Roman" w:hAnsi="Times New Roman"/>
                <w:sz w:val="24"/>
              </w:rPr>
              <w:t>Szociális kompetenciahiányokkal, ingerszegény környezetben élő, eladósodott, alacsony iskolai végzettségű személyek, akiknek kevés munkavállalási lehetőségük adódik.</w:t>
            </w:r>
          </w:p>
        </w:tc>
        <w:tc>
          <w:tcPr>
            <w:tcW w:w="4234" w:type="dxa"/>
            <w:tcBorders>
              <w:top w:val="single" w:sz="4" w:space="0" w:color="000000"/>
              <w:left w:val="single" w:sz="4" w:space="0" w:color="000000"/>
              <w:bottom w:val="single" w:sz="4" w:space="0" w:color="000000"/>
              <w:right w:val="single" w:sz="4" w:space="0" w:color="000000"/>
            </w:tcBorders>
            <w:vAlign w:val="center"/>
            <w:hideMark/>
          </w:tcPr>
          <w:p w:rsidR="00795A46" w:rsidRDefault="00795A46">
            <w:pPr>
              <w:snapToGrid w:val="0"/>
              <w:spacing w:line="256" w:lineRule="auto"/>
              <w:rPr>
                <w:rFonts w:ascii="Times New Roman" w:hAnsi="Times New Roman"/>
                <w:sz w:val="24"/>
              </w:rPr>
            </w:pPr>
            <w:r>
              <w:rPr>
                <w:rFonts w:ascii="Times New Roman" w:hAnsi="Times New Roman"/>
                <w:sz w:val="24"/>
              </w:rPr>
              <w:t>Tanulásösztönzés, átképzés, a közétkeztetési szolgáltatás fejlesztése, közfoglalkoztatásba bevonás, bölcsőde- és óvodafejlesztés, Biztos Kezdet Gyermekház létesítése</w:t>
            </w:r>
          </w:p>
        </w:tc>
      </w:tr>
      <w:tr w:rsidR="00795A46" w:rsidTr="000B527A">
        <w:trPr>
          <w:trHeight w:val="680"/>
        </w:trPr>
        <w:tc>
          <w:tcPr>
            <w:tcW w:w="1591" w:type="dxa"/>
            <w:tcBorders>
              <w:top w:val="single" w:sz="4" w:space="0" w:color="000000"/>
              <w:left w:val="single" w:sz="4" w:space="0" w:color="000000"/>
              <w:bottom w:val="single" w:sz="4" w:space="0" w:color="000000"/>
              <w:right w:val="nil"/>
            </w:tcBorders>
            <w:vAlign w:val="center"/>
            <w:hideMark/>
          </w:tcPr>
          <w:p w:rsidR="00795A46" w:rsidRDefault="00795A46">
            <w:pPr>
              <w:snapToGrid w:val="0"/>
              <w:spacing w:line="256" w:lineRule="auto"/>
              <w:jc w:val="center"/>
              <w:rPr>
                <w:rFonts w:ascii="Times New Roman" w:hAnsi="Times New Roman"/>
                <w:sz w:val="24"/>
              </w:rPr>
            </w:pPr>
            <w:r>
              <w:rPr>
                <w:rFonts w:ascii="Times New Roman" w:hAnsi="Times New Roman"/>
                <w:sz w:val="24"/>
              </w:rPr>
              <w:t>Gyermekek</w:t>
            </w:r>
          </w:p>
        </w:tc>
        <w:tc>
          <w:tcPr>
            <w:tcW w:w="4105" w:type="dxa"/>
            <w:tcBorders>
              <w:top w:val="single" w:sz="4" w:space="0" w:color="000000"/>
              <w:left w:val="single" w:sz="4" w:space="0" w:color="000000"/>
              <w:bottom w:val="single" w:sz="4" w:space="0" w:color="000000"/>
              <w:right w:val="nil"/>
            </w:tcBorders>
            <w:vAlign w:val="center"/>
            <w:hideMark/>
          </w:tcPr>
          <w:p w:rsidR="00795A46" w:rsidRDefault="00795A46">
            <w:pPr>
              <w:snapToGrid w:val="0"/>
              <w:spacing w:line="256" w:lineRule="auto"/>
              <w:rPr>
                <w:rFonts w:ascii="Times New Roman" w:hAnsi="Times New Roman"/>
                <w:sz w:val="24"/>
              </w:rPr>
            </w:pPr>
            <w:r>
              <w:rPr>
                <w:rFonts w:ascii="Times New Roman" w:hAnsi="Times New Roman"/>
                <w:sz w:val="24"/>
              </w:rPr>
              <w:t>A hátrányos helyzetű gyermekek közül többen szocializálatlanok, gyermekpszichológiai ellátásra szorulnak. Kevés a beltéri és szabadtéri szabadidő-eltöltési és sportolási lehetőségük.</w:t>
            </w:r>
          </w:p>
        </w:tc>
        <w:tc>
          <w:tcPr>
            <w:tcW w:w="4234" w:type="dxa"/>
            <w:tcBorders>
              <w:top w:val="single" w:sz="4" w:space="0" w:color="000000"/>
              <w:left w:val="single" w:sz="4" w:space="0" w:color="000000"/>
              <w:bottom w:val="single" w:sz="4" w:space="0" w:color="000000"/>
              <w:right w:val="single" w:sz="4" w:space="0" w:color="000000"/>
            </w:tcBorders>
            <w:vAlign w:val="center"/>
            <w:hideMark/>
          </w:tcPr>
          <w:p w:rsidR="00795A46" w:rsidRDefault="00795A46">
            <w:pPr>
              <w:snapToGrid w:val="0"/>
              <w:spacing w:line="256" w:lineRule="auto"/>
              <w:rPr>
                <w:rFonts w:ascii="Times New Roman" w:hAnsi="Times New Roman"/>
                <w:sz w:val="24"/>
              </w:rPr>
            </w:pPr>
            <w:r>
              <w:rPr>
                <w:rFonts w:ascii="Times New Roman" w:hAnsi="Times New Roman"/>
                <w:sz w:val="24"/>
              </w:rPr>
              <w:t>A gyermekek számára gyermekpszichológiai és mentálhigiénés ellátás biztosítására, bringapark, játszóterek, futópálya létesítésére, napközi konyha fejlesztésére, tornaterem és Tornacsarnok fejlesztésére van szükség.</w:t>
            </w:r>
          </w:p>
        </w:tc>
      </w:tr>
      <w:tr w:rsidR="00795A46" w:rsidTr="000B527A">
        <w:trPr>
          <w:trHeight w:val="680"/>
        </w:trPr>
        <w:tc>
          <w:tcPr>
            <w:tcW w:w="1591" w:type="dxa"/>
            <w:tcBorders>
              <w:top w:val="single" w:sz="4" w:space="0" w:color="000000"/>
              <w:left w:val="single" w:sz="4" w:space="0" w:color="000000"/>
              <w:bottom w:val="single" w:sz="4" w:space="0" w:color="000000"/>
              <w:right w:val="nil"/>
            </w:tcBorders>
            <w:vAlign w:val="center"/>
            <w:hideMark/>
          </w:tcPr>
          <w:p w:rsidR="00795A46" w:rsidRDefault="00795A46">
            <w:pPr>
              <w:snapToGrid w:val="0"/>
              <w:spacing w:line="256" w:lineRule="auto"/>
              <w:jc w:val="center"/>
              <w:rPr>
                <w:rFonts w:ascii="Times New Roman" w:hAnsi="Times New Roman"/>
                <w:sz w:val="24"/>
              </w:rPr>
            </w:pPr>
            <w:r>
              <w:rPr>
                <w:rFonts w:ascii="Times New Roman" w:hAnsi="Times New Roman"/>
                <w:sz w:val="24"/>
              </w:rPr>
              <w:t xml:space="preserve">Idősek </w:t>
            </w:r>
          </w:p>
        </w:tc>
        <w:tc>
          <w:tcPr>
            <w:tcW w:w="4105" w:type="dxa"/>
            <w:tcBorders>
              <w:top w:val="single" w:sz="4" w:space="0" w:color="000000"/>
              <w:left w:val="single" w:sz="4" w:space="0" w:color="000000"/>
              <w:bottom w:val="single" w:sz="4" w:space="0" w:color="000000"/>
              <w:right w:val="nil"/>
            </w:tcBorders>
            <w:vAlign w:val="center"/>
            <w:hideMark/>
          </w:tcPr>
          <w:p w:rsidR="00795A46" w:rsidRDefault="00795A46">
            <w:pPr>
              <w:snapToGrid w:val="0"/>
              <w:spacing w:line="256" w:lineRule="auto"/>
              <w:rPr>
                <w:rFonts w:ascii="Times New Roman" w:hAnsi="Times New Roman"/>
                <w:sz w:val="24"/>
              </w:rPr>
            </w:pPr>
            <w:r>
              <w:rPr>
                <w:rFonts w:ascii="Times New Roman" w:hAnsi="Times New Roman"/>
                <w:sz w:val="24"/>
              </w:rPr>
              <w:t xml:space="preserve">Az idősek – és különösen a nők - körében gyakori az elmagányosodás, mégis kevesen veszik igénybe a nappali ellátást. Az egészségügyi állapotuk rosszabbodik, a szociális ellátások elérhetőségéről azok közzététele ellenére kevesen tudnak. Az idősek többségének hulladékkezelési elvei elavultak, de szívesen látogatják a rossz állapotban lévő Helytörténeti Gyűjteményt. </w:t>
            </w:r>
          </w:p>
        </w:tc>
        <w:tc>
          <w:tcPr>
            <w:tcW w:w="4234" w:type="dxa"/>
            <w:tcBorders>
              <w:top w:val="single" w:sz="4" w:space="0" w:color="000000"/>
              <w:left w:val="single" w:sz="4" w:space="0" w:color="000000"/>
              <w:bottom w:val="single" w:sz="4" w:space="0" w:color="000000"/>
              <w:right w:val="single" w:sz="4" w:space="0" w:color="000000"/>
            </w:tcBorders>
            <w:vAlign w:val="center"/>
            <w:hideMark/>
          </w:tcPr>
          <w:p w:rsidR="00795A46" w:rsidRDefault="00795A46">
            <w:pPr>
              <w:snapToGrid w:val="0"/>
              <w:spacing w:line="256" w:lineRule="auto"/>
              <w:rPr>
                <w:rFonts w:ascii="Times New Roman" w:hAnsi="Times New Roman"/>
                <w:sz w:val="24"/>
              </w:rPr>
            </w:pPr>
            <w:r>
              <w:rPr>
                <w:rFonts w:ascii="Times New Roman" w:hAnsi="Times New Roman"/>
                <w:sz w:val="24"/>
              </w:rPr>
              <w:t>A nappali ellátás fejlesztése, az egészségmegőrzés lehetőségeiről és a szociális ellátásokhoz való hozzáférés lehetőségeiről szóló tájékoztatás, a szelektív hulladékgyűjtés népszerűsítése, a Helytörténeti Gyűjtemény épületének korszerűsítése</w:t>
            </w:r>
          </w:p>
        </w:tc>
      </w:tr>
      <w:tr w:rsidR="00795A46" w:rsidTr="000B527A">
        <w:trPr>
          <w:trHeight w:val="680"/>
        </w:trPr>
        <w:tc>
          <w:tcPr>
            <w:tcW w:w="1591" w:type="dxa"/>
            <w:tcBorders>
              <w:top w:val="single" w:sz="4" w:space="0" w:color="000000"/>
              <w:left w:val="single" w:sz="4" w:space="0" w:color="000000"/>
              <w:bottom w:val="single" w:sz="4" w:space="0" w:color="000000"/>
              <w:right w:val="nil"/>
            </w:tcBorders>
            <w:vAlign w:val="center"/>
            <w:hideMark/>
          </w:tcPr>
          <w:p w:rsidR="00795A46" w:rsidRDefault="00795A46">
            <w:pPr>
              <w:snapToGrid w:val="0"/>
              <w:spacing w:line="256" w:lineRule="auto"/>
              <w:jc w:val="center"/>
              <w:rPr>
                <w:rFonts w:ascii="Times New Roman" w:hAnsi="Times New Roman"/>
                <w:sz w:val="24"/>
              </w:rPr>
            </w:pPr>
            <w:r>
              <w:rPr>
                <w:rFonts w:ascii="Times New Roman" w:hAnsi="Times New Roman"/>
                <w:sz w:val="24"/>
              </w:rPr>
              <w:t>Nők</w:t>
            </w:r>
          </w:p>
        </w:tc>
        <w:tc>
          <w:tcPr>
            <w:tcW w:w="4105" w:type="dxa"/>
            <w:tcBorders>
              <w:top w:val="single" w:sz="4" w:space="0" w:color="000000"/>
              <w:left w:val="single" w:sz="4" w:space="0" w:color="000000"/>
              <w:bottom w:val="single" w:sz="4" w:space="0" w:color="000000"/>
              <w:right w:val="nil"/>
            </w:tcBorders>
            <w:vAlign w:val="center"/>
            <w:hideMark/>
          </w:tcPr>
          <w:p w:rsidR="00795A46" w:rsidRDefault="00795A46">
            <w:pPr>
              <w:snapToGrid w:val="0"/>
              <w:spacing w:line="256" w:lineRule="auto"/>
              <w:rPr>
                <w:rFonts w:ascii="Times New Roman" w:hAnsi="Times New Roman"/>
                <w:sz w:val="24"/>
              </w:rPr>
            </w:pPr>
            <w:r>
              <w:rPr>
                <w:rFonts w:ascii="Times New Roman" w:hAnsi="Times New Roman"/>
                <w:sz w:val="24"/>
              </w:rPr>
              <w:t xml:space="preserve">Az egyedülállóvá vált nők közül többen rendezetlen családi jogállással (apai elismerő nyilatkozat nélkül, vagy szülői felügyeleti jog bírósági megállapítása nélkül) nevelik gyermekeiket, esetenként rejtve marad a családon belüli erőszak. Kevés a szünidei gyermekfelügyeleti lehetőség, a nők sportolási lehetősége korlátozott, a nők önképzési lehetőségei és még fejlesztésre szorulnak.  </w:t>
            </w:r>
          </w:p>
        </w:tc>
        <w:tc>
          <w:tcPr>
            <w:tcW w:w="4234" w:type="dxa"/>
            <w:tcBorders>
              <w:top w:val="single" w:sz="4" w:space="0" w:color="000000"/>
              <w:left w:val="single" w:sz="4" w:space="0" w:color="000000"/>
              <w:bottom w:val="single" w:sz="4" w:space="0" w:color="000000"/>
              <w:right w:val="single" w:sz="4" w:space="0" w:color="000000"/>
            </w:tcBorders>
            <w:vAlign w:val="center"/>
            <w:hideMark/>
          </w:tcPr>
          <w:p w:rsidR="00795A46" w:rsidRDefault="00795A46">
            <w:pPr>
              <w:snapToGrid w:val="0"/>
              <w:spacing w:line="256" w:lineRule="auto"/>
              <w:rPr>
                <w:rFonts w:ascii="Times New Roman" w:hAnsi="Times New Roman"/>
                <w:sz w:val="24"/>
              </w:rPr>
            </w:pPr>
            <w:r>
              <w:rPr>
                <w:rFonts w:ascii="Times New Roman" w:hAnsi="Times New Roman"/>
                <w:sz w:val="24"/>
              </w:rPr>
              <w:t>A Gyermekvédelmi Jelzőrendszer tagjainak aktív együttműködése mentálhigiénés tanácsadással segíthetné az egyedül maradt gyermekes nőket. a településen élő nők mindennapjait segíti, a sportolási, önképzési és szünidei gyermekfelügyeleti lehetőségek pedig az életminőségüket javítják.</w:t>
            </w:r>
          </w:p>
        </w:tc>
      </w:tr>
      <w:tr w:rsidR="00795A46" w:rsidTr="000B527A">
        <w:trPr>
          <w:trHeight w:val="680"/>
        </w:trPr>
        <w:tc>
          <w:tcPr>
            <w:tcW w:w="1591" w:type="dxa"/>
            <w:tcBorders>
              <w:top w:val="single" w:sz="4" w:space="0" w:color="000000"/>
              <w:left w:val="single" w:sz="4" w:space="0" w:color="000000"/>
              <w:bottom w:val="single" w:sz="4" w:space="0" w:color="000000"/>
              <w:right w:val="nil"/>
            </w:tcBorders>
            <w:vAlign w:val="center"/>
            <w:hideMark/>
          </w:tcPr>
          <w:p w:rsidR="00795A46" w:rsidRDefault="00795A46">
            <w:pPr>
              <w:snapToGrid w:val="0"/>
              <w:spacing w:line="256" w:lineRule="auto"/>
              <w:jc w:val="center"/>
              <w:rPr>
                <w:rFonts w:ascii="Times New Roman" w:hAnsi="Times New Roman"/>
                <w:sz w:val="24"/>
              </w:rPr>
            </w:pPr>
            <w:r>
              <w:rPr>
                <w:rFonts w:ascii="Times New Roman" w:hAnsi="Times New Roman"/>
                <w:sz w:val="24"/>
              </w:rPr>
              <w:t>Fogyatékkal élők</w:t>
            </w:r>
          </w:p>
        </w:tc>
        <w:tc>
          <w:tcPr>
            <w:tcW w:w="4105" w:type="dxa"/>
            <w:tcBorders>
              <w:top w:val="single" w:sz="4" w:space="0" w:color="000000"/>
              <w:left w:val="single" w:sz="4" w:space="0" w:color="000000"/>
              <w:bottom w:val="single" w:sz="4" w:space="0" w:color="000000"/>
              <w:right w:val="nil"/>
            </w:tcBorders>
            <w:vAlign w:val="center"/>
            <w:hideMark/>
          </w:tcPr>
          <w:p w:rsidR="00795A46" w:rsidRDefault="00795A46">
            <w:pPr>
              <w:snapToGrid w:val="0"/>
              <w:spacing w:line="256" w:lineRule="auto"/>
              <w:rPr>
                <w:rFonts w:ascii="Times New Roman" w:hAnsi="Times New Roman"/>
                <w:sz w:val="24"/>
              </w:rPr>
            </w:pPr>
            <w:r>
              <w:rPr>
                <w:rFonts w:ascii="Times New Roman" w:hAnsi="Times New Roman"/>
                <w:sz w:val="24"/>
              </w:rPr>
              <w:t>A foglalkoztatás akadályoztatása és a közszolgálatatásokhoz való hozzáférés hiánya a fizikai akadálymentesítés hiánya miatt. A</w:t>
            </w:r>
            <w:r>
              <w:rPr>
                <w:rFonts w:ascii="Times New Roman" w:hAnsi="Times New Roman"/>
                <w:color w:val="000000" w:themeColor="text1"/>
                <w:sz w:val="24"/>
              </w:rPr>
              <w:t xml:space="preserve"> fogyatékkal élőket foglalkoztató, önkormányzati tulajdonú épület felújításra, energetikai korszerűsítésre és további fizikai akadálymentesítésre szorul. </w:t>
            </w:r>
          </w:p>
        </w:tc>
        <w:tc>
          <w:tcPr>
            <w:tcW w:w="4234" w:type="dxa"/>
            <w:tcBorders>
              <w:top w:val="single" w:sz="4" w:space="0" w:color="000000"/>
              <w:left w:val="single" w:sz="4" w:space="0" w:color="000000"/>
              <w:bottom w:val="single" w:sz="4" w:space="0" w:color="000000"/>
              <w:right w:val="single" w:sz="4" w:space="0" w:color="000000"/>
            </w:tcBorders>
            <w:vAlign w:val="center"/>
            <w:hideMark/>
          </w:tcPr>
          <w:p w:rsidR="00795A46" w:rsidRDefault="00795A46">
            <w:pPr>
              <w:snapToGrid w:val="0"/>
              <w:spacing w:line="256" w:lineRule="auto"/>
              <w:rPr>
                <w:rFonts w:ascii="Times New Roman" w:hAnsi="Times New Roman"/>
                <w:sz w:val="24"/>
              </w:rPr>
            </w:pPr>
            <w:r>
              <w:rPr>
                <w:rFonts w:ascii="Times New Roman" w:hAnsi="Times New Roman"/>
                <w:sz w:val="24"/>
              </w:rPr>
              <w:t xml:space="preserve">A közszolgáltatást nyújtó és kereskedelmi célú ingatlanok fizikai akadálymentesítésére van szükség. </w:t>
            </w:r>
          </w:p>
        </w:tc>
      </w:tr>
      <w:tr w:rsidR="000B527A" w:rsidTr="000B527A">
        <w:trPr>
          <w:trHeight w:val="680"/>
        </w:trPr>
        <w:tc>
          <w:tcPr>
            <w:tcW w:w="1591" w:type="dxa"/>
            <w:vMerge w:val="restart"/>
            <w:tcBorders>
              <w:top w:val="single" w:sz="4" w:space="0" w:color="000000"/>
              <w:left w:val="single" w:sz="4" w:space="0" w:color="000000"/>
              <w:right w:val="nil"/>
            </w:tcBorders>
            <w:vAlign w:val="center"/>
            <w:hideMark/>
          </w:tcPr>
          <w:p w:rsidR="000B527A" w:rsidRDefault="000B527A">
            <w:pPr>
              <w:snapToGrid w:val="0"/>
              <w:spacing w:line="256" w:lineRule="auto"/>
              <w:jc w:val="center"/>
              <w:rPr>
                <w:rFonts w:ascii="Times New Roman" w:hAnsi="Times New Roman"/>
                <w:sz w:val="24"/>
              </w:rPr>
            </w:pPr>
            <w:bookmarkStart w:id="134" w:name="_GoBack"/>
            <w:bookmarkEnd w:id="134"/>
            <w:r>
              <w:rPr>
                <w:rFonts w:ascii="Times New Roman" w:hAnsi="Times New Roman"/>
                <w:sz w:val="24"/>
              </w:rPr>
              <w:t>Több célcsoportot érintő, településszintű megállapítás</w:t>
            </w:r>
          </w:p>
        </w:tc>
        <w:tc>
          <w:tcPr>
            <w:tcW w:w="4105" w:type="dxa"/>
            <w:tcBorders>
              <w:top w:val="single" w:sz="4" w:space="0" w:color="000000"/>
              <w:left w:val="single" w:sz="4" w:space="0" w:color="000000"/>
              <w:bottom w:val="single" w:sz="4" w:space="0" w:color="000000"/>
              <w:right w:val="nil"/>
            </w:tcBorders>
            <w:vAlign w:val="center"/>
            <w:hideMark/>
          </w:tcPr>
          <w:p w:rsidR="000B527A" w:rsidRPr="000B527A" w:rsidRDefault="000B527A" w:rsidP="000B527A">
            <w:pPr>
              <w:snapToGrid w:val="0"/>
              <w:spacing w:line="256" w:lineRule="auto"/>
              <w:rPr>
                <w:rFonts w:ascii="Times New Roman" w:hAnsi="Times New Roman"/>
                <w:color w:val="0070C0"/>
                <w:sz w:val="24"/>
              </w:rPr>
            </w:pPr>
            <w:r w:rsidRPr="000B527A">
              <w:rPr>
                <w:rFonts w:ascii="Times New Roman" w:hAnsi="Times New Roman"/>
                <w:color w:val="0070C0"/>
                <w:sz w:val="24"/>
              </w:rPr>
              <w:t xml:space="preserve">A járda- és kerékpár úthálózat kiépítettségének mértéke fejlesztésre, az elavult területeken javításra szorul. A település nagyobb részén energetikai szempontból korszerűtlen, nem hatékony és nem gazdaságos a közvilágítás. </w:t>
            </w:r>
          </w:p>
          <w:p w:rsidR="000B527A" w:rsidRPr="000B527A" w:rsidRDefault="000B527A" w:rsidP="000B527A">
            <w:pPr>
              <w:snapToGrid w:val="0"/>
              <w:spacing w:line="256" w:lineRule="auto"/>
              <w:rPr>
                <w:rFonts w:ascii="Times New Roman" w:hAnsi="Times New Roman"/>
                <w:sz w:val="24"/>
              </w:rPr>
            </w:pPr>
            <w:r w:rsidRPr="000B527A">
              <w:rPr>
                <w:rFonts w:ascii="Times New Roman" w:hAnsi="Times New Roman"/>
                <w:color w:val="0070C0"/>
                <w:sz w:val="24"/>
              </w:rPr>
              <w:t>Ezek a problémák súlyos veszélyt jelentenek a település közlekedési, közbiztonsági helyzetére, ezért  megszüntetésük feltétlenül indokolt.</w:t>
            </w:r>
          </w:p>
        </w:tc>
        <w:tc>
          <w:tcPr>
            <w:tcW w:w="4234" w:type="dxa"/>
            <w:tcBorders>
              <w:top w:val="single" w:sz="4" w:space="0" w:color="000000"/>
              <w:left w:val="single" w:sz="4" w:space="0" w:color="000000"/>
              <w:bottom w:val="single" w:sz="4" w:space="0" w:color="000000"/>
              <w:right w:val="single" w:sz="4" w:space="0" w:color="000000"/>
            </w:tcBorders>
            <w:vAlign w:val="center"/>
            <w:hideMark/>
          </w:tcPr>
          <w:p w:rsidR="000B527A" w:rsidRPr="000B527A" w:rsidRDefault="000B527A">
            <w:pPr>
              <w:snapToGrid w:val="0"/>
              <w:spacing w:line="256" w:lineRule="auto"/>
              <w:rPr>
                <w:rFonts w:ascii="Times New Roman" w:hAnsi="Times New Roman"/>
                <w:sz w:val="24"/>
              </w:rPr>
            </w:pPr>
            <w:r w:rsidRPr="000B527A">
              <w:rPr>
                <w:rFonts w:ascii="Times New Roman" w:hAnsi="Times New Roman"/>
                <w:sz w:val="24"/>
              </w:rPr>
              <w:t xml:space="preserve">A járdahálózat, a közvilágítás, és a közbiztonság eszközállományának (térfigyelő kamerarendszer) fejlesztése. korszerűsítése szükséges. </w:t>
            </w:r>
          </w:p>
        </w:tc>
      </w:tr>
      <w:tr w:rsidR="000B527A" w:rsidTr="000B527A">
        <w:trPr>
          <w:trHeight w:val="680"/>
        </w:trPr>
        <w:tc>
          <w:tcPr>
            <w:tcW w:w="1591" w:type="dxa"/>
            <w:vMerge/>
            <w:tcBorders>
              <w:left w:val="single" w:sz="4" w:space="0" w:color="000000"/>
              <w:right w:val="nil"/>
            </w:tcBorders>
            <w:vAlign w:val="center"/>
          </w:tcPr>
          <w:p w:rsidR="000B527A" w:rsidRDefault="000B527A">
            <w:pPr>
              <w:snapToGrid w:val="0"/>
              <w:spacing w:line="256" w:lineRule="auto"/>
              <w:jc w:val="center"/>
              <w:rPr>
                <w:rFonts w:ascii="Times New Roman" w:hAnsi="Times New Roman"/>
                <w:sz w:val="24"/>
              </w:rPr>
            </w:pPr>
          </w:p>
        </w:tc>
        <w:tc>
          <w:tcPr>
            <w:tcW w:w="4105" w:type="dxa"/>
            <w:tcBorders>
              <w:top w:val="single" w:sz="4" w:space="0" w:color="000000"/>
              <w:left w:val="single" w:sz="4" w:space="0" w:color="000000"/>
              <w:bottom w:val="single" w:sz="4" w:space="0" w:color="000000"/>
              <w:right w:val="nil"/>
            </w:tcBorders>
            <w:vAlign w:val="center"/>
          </w:tcPr>
          <w:p w:rsidR="000B527A" w:rsidRPr="000B527A" w:rsidRDefault="000B527A">
            <w:pPr>
              <w:snapToGrid w:val="0"/>
              <w:spacing w:line="256" w:lineRule="auto"/>
              <w:rPr>
                <w:rFonts w:ascii="Times New Roman" w:hAnsi="Times New Roman"/>
                <w:color w:val="000000" w:themeColor="text1"/>
                <w:sz w:val="24"/>
              </w:rPr>
            </w:pPr>
            <w:r w:rsidRPr="000B527A">
              <w:rPr>
                <w:rFonts w:ascii="Times New Roman" w:hAnsi="Times New Roman"/>
                <w:color w:val="0070C0"/>
                <w:sz w:val="24"/>
              </w:rPr>
              <w:t>Az utóbbi időben emelkedett a születések száma. Jelenleg az óvodai férőhelyek megteltek.</w:t>
            </w:r>
          </w:p>
        </w:tc>
        <w:tc>
          <w:tcPr>
            <w:tcW w:w="4234" w:type="dxa"/>
            <w:tcBorders>
              <w:top w:val="single" w:sz="4" w:space="0" w:color="000000"/>
              <w:left w:val="single" w:sz="4" w:space="0" w:color="000000"/>
              <w:bottom w:val="single" w:sz="4" w:space="0" w:color="000000"/>
              <w:right w:val="single" w:sz="4" w:space="0" w:color="000000"/>
            </w:tcBorders>
            <w:vAlign w:val="center"/>
          </w:tcPr>
          <w:p w:rsidR="000B527A" w:rsidRPr="000B527A" w:rsidRDefault="000B527A">
            <w:pPr>
              <w:snapToGrid w:val="0"/>
              <w:spacing w:line="256" w:lineRule="auto"/>
              <w:rPr>
                <w:rFonts w:ascii="Times New Roman" w:hAnsi="Times New Roman"/>
                <w:sz w:val="24"/>
              </w:rPr>
            </w:pPr>
            <w:r w:rsidRPr="000B527A">
              <w:rPr>
                <w:rFonts w:ascii="Times New Roman" w:hAnsi="Times New Roman"/>
                <w:color w:val="0070C0"/>
                <w:sz w:val="24"/>
                <w:lang w:eastAsia="hu-HU"/>
              </w:rPr>
              <w:t>Az István király utcai feladatellátási helyen új csoportszoba és többfunkciós terem kialakítása vált szükségessé.</w:t>
            </w:r>
          </w:p>
        </w:tc>
      </w:tr>
      <w:tr w:rsidR="000B527A" w:rsidTr="000B527A">
        <w:trPr>
          <w:trHeight w:val="680"/>
        </w:trPr>
        <w:tc>
          <w:tcPr>
            <w:tcW w:w="1591" w:type="dxa"/>
            <w:vMerge/>
            <w:tcBorders>
              <w:left w:val="single" w:sz="4" w:space="0" w:color="000000"/>
              <w:right w:val="nil"/>
            </w:tcBorders>
            <w:vAlign w:val="center"/>
          </w:tcPr>
          <w:p w:rsidR="000B527A" w:rsidRDefault="000B527A">
            <w:pPr>
              <w:snapToGrid w:val="0"/>
              <w:spacing w:line="256" w:lineRule="auto"/>
              <w:jc w:val="center"/>
              <w:rPr>
                <w:rFonts w:ascii="Times New Roman" w:hAnsi="Times New Roman"/>
                <w:sz w:val="24"/>
              </w:rPr>
            </w:pPr>
          </w:p>
        </w:tc>
        <w:tc>
          <w:tcPr>
            <w:tcW w:w="4105" w:type="dxa"/>
            <w:tcBorders>
              <w:top w:val="single" w:sz="4" w:space="0" w:color="000000"/>
              <w:left w:val="single" w:sz="4" w:space="0" w:color="000000"/>
              <w:bottom w:val="single" w:sz="4" w:space="0" w:color="000000"/>
              <w:right w:val="nil"/>
            </w:tcBorders>
            <w:vAlign w:val="center"/>
          </w:tcPr>
          <w:p w:rsidR="000B527A" w:rsidRPr="000B527A" w:rsidRDefault="000B527A">
            <w:pPr>
              <w:snapToGrid w:val="0"/>
              <w:spacing w:line="256" w:lineRule="auto"/>
              <w:rPr>
                <w:rFonts w:ascii="Times New Roman" w:hAnsi="Times New Roman"/>
                <w:color w:val="000000" w:themeColor="text1"/>
                <w:sz w:val="24"/>
              </w:rPr>
            </w:pPr>
            <w:r w:rsidRPr="000B527A">
              <w:rPr>
                <w:rFonts w:ascii="Times New Roman" w:hAnsi="Times New Roman"/>
                <w:color w:val="0070C0"/>
                <w:sz w:val="24"/>
              </w:rPr>
              <w:t>A napközi konyhára egyre nehezebb feladat hárul az előállítandó adagszámok növekedése miatt.</w:t>
            </w:r>
          </w:p>
        </w:tc>
        <w:tc>
          <w:tcPr>
            <w:tcW w:w="4234" w:type="dxa"/>
            <w:tcBorders>
              <w:top w:val="single" w:sz="4" w:space="0" w:color="000000"/>
              <w:left w:val="single" w:sz="4" w:space="0" w:color="000000"/>
              <w:bottom w:val="single" w:sz="4" w:space="0" w:color="000000"/>
              <w:right w:val="single" w:sz="4" w:space="0" w:color="000000"/>
            </w:tcBorders>
            <w:vAlign w:val="center"/>
          </w:tcPr>
          <w:p w:rsidR="000B527A" w:rsidRPr="000B527A" w:rsidRDefault="000B527A">
            <w:pPr>
              <w:snapToGrid w:val="0"/>
              <w:spacing w:line="256" w:lineRule="auto"/>
              <w:rPr>
                <w:rFonts w:ascii="Times New Roman" w:hAnsi="Times New Roman"/>
                <w:sz w:val="24"/>
              </w:rPr>
            </w:pPr>
            <w:r w:rsidRPr="000B527A">
              <w:rPr>
                <w:rFonts w:ascii="Times New Roman" w:hAnsi="Times New Roman"/>
                <w:color w:val="0070C0"/>
                <w:sz w:val="24"/>
              </w:rPr>
              <w:t>A közétkeztetés korszerűsítése: település napközi konyhájának felújítása, technológiai és energetikai korszerűsítése a hatékonyabb ellátás és a megnövekedett kapacitás-igények kiszolgálása érdekében.</w:t>
            </w:r>
          </w:p>
        </w:tc>
      </w:tr>
      <w:tr w:rsidR="000B527A" w:rsidTr="000B527A">
        <w:trPr>
          <w:trHeight w:val="680"/>
        </w:trPr>
        <w:tc>
          <w:tcPr>
            <w:tcW w:w="1591" w:type="dxa"/>
            <w:vMerge/>
            <w:tcBorders>
              <w:left w:val="single" w:sz="4" w:space="0" w:color="000000"/>
              <w:bottom w:val="single" w:sz="4" w:space="0" w:color="000000"/>
              <w:right w:val="nil"/>
            </w:tcBorders>
            <w:vAlign w:val="center"/>
          </w:tcPr>
          <w:p w:rsidR="000B527A" w:rsidRDefault="000B527A">
            <w:pPr>
              <w:snapToGrid w:val="0"/>
              <w:spacing w:line="256" w:lineRule="auto"/>
              <w:jc w:val="center"/>
              <w:rPr>
                <w:rFonts w:ascii="Times New Roman" w:hAnsi="Times New Roman"/>
                <w:sz w:val="24"/>
              </w:rPr>
            </w:pPr>
          </w:p>
        </w:tc>
        <w:tc>
          <w:tcPr>
            <w:tcW w:w="4105" w:type="dxa"/>
            <w:tcBorders>
              <w:top w:val="single" w:sz="4" w:space="0" w:color="000000"/>
              <w:left w:val="single" w:sz="4" w:space="0" w:color="000000"/>
              <w:bottom w:val="single" w:sz="4" w:space="0" w:color="000000"/>
              <w:right w:val="nil"/>
            </w:tcBorders>
            <w:vAlign w:val="center"/>
          </w:tcPr>
          <w:p w:rsidR="000B527A" w:rsidRPr="000B527A" w:rsidRDefault="000B527A" w:rsidP="000B527A">
            <w:pPr>
              <w:suppressAutoHyphens w:val="0"/>
              <w:rPr>
                <w:rFonts w:ascii="Times New Roman" w:eastAsia="Calibri" w:hAnsi="Times New Roman"/>
                <w:color w:val="0070C0"/>
                <w:sz w:val="24"/>
                <w:lang w:eastAsia="en-US"/>
                <w14:ligatures w14:val="standardContextual"/>
              </w:rPr>
            </w:pPr>
            <w:r w:rsidRPr="000B527A">
              <w:rPr>
                <w:rFonts w:ascii="Times New Roman" w:eastAsia="Calibri" w:hAnsi="Times New Roman"/>
                <w:color w:val="0070C0"/>
                <w:sz w:val="24"/>
                <w:lang w:eastAsia="en-US"/>
                <w14:ligatures w14:val="standardContextual"/>
              </w:rPr>
              <w:t>A városi programlehetőségek tartalmi és mennyiségi vonatkozásban további fejlesztést igényelnek, és növelni kell a civil szervezetek valamint a lakosság szerepvállalását is a rendezvénykínálat megvalósításában. A programkínálat minőségi és mennyiségi tulajdonságainak javítása érdekében annak kiterjesztésére, továbbá a társadalmi aktivitás ösztönzésére lenne szükség.</w:t>
            </w:r>
          </w:p>
          <w:p w:rsidR="000B527A" w:rsidRDefault="000B527A" w:rsidP="000B527A">
            <w:pPr>
              <w:snapToGrid w:val="0"/>
              <w:spacing w:line="256" w:lineRule="auto"/>
              <w:rPr>
                <w:rFonts w:ascii="Times New Roman" w:hAnsi="Times New Roman"/>
                <w:color w:val="000000" w:themeColor="text1"/>
                <w:sz w:val="24"/>
              </w:rPr>
            </w:pPr>
            <w:r w:rsidRPr="000B527A">
              <w:rPr>
                <w:rFonts w:ascii="Times New Roman" w:eastAsia="Calibri" w:hAnsi="Times New Roman"/>
                <w:color w:val="0070C0"/>
                <w:sz w:val="24"/>
                <w:lang w:eastAsia="en-US"/>
                <w14:ligatures w14:val="standardContextual"/>
              </w:rPr>
              <w:t>A bővülő programlehetőségek, a szociális tevékenységek iránti megnövekedett társadalmi igények újabb közösségi és neutrális terek kialakítását, valamint a meglévők bővítését, fejlesztését, és minőségi tartalommal való megtöltését indokolják. Kijelenthető tehát, hogy az azonosított problémák között igen nagy fajsúllyal jelent meg a közösségi terek kulturális-infrastrukturális deficite.</w:t>
            </w:r>
          </w:p>
        </w:tc>
        <w:tc>
          <w:tcPr>
            <w:tcW w:w="4234" w:type="dxa"/>
            <w:tcBorders>
              <w:top w:val="single" w:sz="4" w:space="0" w:color="000000"/>
              <w:left w:val="single" w:sz="4" w:space="0" w:color="000000"/>
              <w:bottom w:val="single" w:sz="4" w:space="0" w:color="000000"/>
              <w:right w:val="single" w:sz="4" w:space="0" w:color="000000"/>
            </w:tcBorders>
            <w:vAlign w:val="center"/>
          </w:tcPr>
          <w:p w:rsidR="000B527A" w:rsidRPr="000B527A" w:rsidRDefault="000B527A">
            <w:pPr>
              <w:snapToGrid w:val="0"/>
              <w:spacing w:line="256" w:lineRule="auto"/>
              <w:rPr>
                <w:rFonts w:ascii="Times New Roman" w:hAnsi="Times New Roman"/>
                <w:sz w:val="24"/>
              </w:rPr>
            </w:pPr>
            <w:r w:rsidRPr="000B527A">
              <w:rPr>
                <w:rFonts w:ascii="Times New Roman" w:eastAsia="Calibri" w:hAnsi="Times New Roman"/>
                <w:color w:val="0070C0"/>
                <w:sz w:val="24"/>
                <w:lang w:eastAsia="en-US"/>
                <w14:ligatures w14:val="standardContextual"/>
              </w:rPr>
              <w:t>A célcsoportokat érintő kulturális, közösségi, szociális, munkaerő-piaci, bűnmegelőzési, mentálhigiénés egészségmegőrző és egyéb, a társadalmat aktuálisan érintő témájú programok kínálatának színesítése, annak érdekében, hogy mindenki megtalálja saját maga és környezete számára a legalkalmasabb programot, legyen szó workshopról, kiállításról, tanácsadásról, falunapról, segítő szolgáltatásról.</w:t>
            </w:r>
          </w:p>
        </w:tc>
      </w:tr>
    </w:tbl>
    <w:p w:rsidR="00795A46" w:rsidRDefault="00795A46" w:rsidP="00795A46">
      <w:pPr>
        <w:pStyle w:val="Cmsor4"/>
        <w:pBdr>
          <w:top w:val="none" w:sz="0" w:space="0" w:color="auto"/>
          <w:left w:val="none" w:sz="0" w:space="0" w:color="auto"/>
          <w:bottom w:val="none" w:sz="0" w:space="0" w:color="auto"/>
          <w:right w:val="none" w:sz="0" w:space="0" w:color="auto"/>
        </w:pBdr>
        <w:rPr>
          <w:rFonts w:ascii="Times New Roman" w:hAnsi="Times New Roman"/>
          <w:b/>
        </w:rPr>
      </w:pPr>
      <w:bookmarkStart w:id="135" w:name="__RefHeading__273_1906745769"/>
      <w:bookmarkEnd w:id="135"/>
    </w:p>
    <w:p w:rsidR="00795A46" w:rsidRDefault="00795A46" w:rsidP="00795A46">
      <w:pPr>
        <w:pStyle w:val="Cmsor4"/>
        <w:pBdr>
          <w:top w:val="none" w:sz="0" w:space="0" w:color="auto"/>
          <w:left w:val="none" w:sz="0" w:space="0" w:color="auto"/>
          <w:bottom w:val="none" w:sz="0" w:space="0" w:color="auto"/>
          <w:right w:val="none" w:sz="0" w:space="0" w:color="auto"/>
        </w:pBdr>
        <w:jc w:val="left"/>
        <w:rPr>
          <w:rFonts w:ascii="Times New Roman" w:hAnsi="Times New Roman"/>
        </w:rPr>
      </w:pPr>
      <w:bookmarkStart w:id="136" w:name="_Toc49500659"/>
      <w:r>
        <w:rPr>
          <w:rFonts w:ascii="Times New Roman" w:hAnsi="Times New Roman"/>
        </w:rPr>
        <w:t>Jövőképünk</w:t>
      </w:r>
      <w:bookmarkEnd w:id="136"/>
    </w:p>
    <w:p w:rsidR="00795A46" w:rsidRDefault="00795A46" w:rsidP="00795A46"/>
    <w:p w:rsidR="00795A46" w:rsidRDefault="00795A46" w:rsidP="00795A46">
      <w:pPr>
        <w:pStyle w:val="Nincstrkz"/>
        <w:numPr>
          <w:ilvl w:val="0"/>
          <w:numId w:val="31"/>
        </w:numPr>
        <w:jc w:val="both"/>
        <w:rPr>
          <w:rFonts w:ascii="Times New Roman" w:hAnsi="Times New Roman"/>
          <w:color w:val="000000" w:themeColor="text1"/>
          <w:sz w:val="24"/>
          <w:szCs w:val="24"/>
        </w:rPr>
      </w:pPr>
      <w:r>
        <w:rPr>
          <w:rFonts w:ascii="Times New Roman" w:hAnsi="Times New Roman"/>
          <w:color w:val="000000" w:themeColor="text1"/>
          <w:sz w:val="24"/>
          <w:szCs w:val="24"/>
        </w:rPr>
        <w:t>Olyan településen kívánunk élni, ahol a hátrányos helyzetűek, a romák egyenlő eséllyel férhetnek hozzá a szolgáltatásokhoz, foglalkoztatáshoz.</w:t>
      </w:r>
    </w:p>
    <w:p w:rsidR="00795A46" w:rsidRDefault="00795A46" w:rsidP="00795A46">
      <w:pPr>
        <w:pStyle w:val="Nincstrkz"/>
        <w:numPr>
          <w:ilvl w:val="0"/>
          <w:numId w:val="31"/>
        </w:numPr>
        <w:jc w:val="both"/>
        <w:rPr>
          <w:rFonts w:ascii="Times New Roman" w:hAnsi="Times New Roman"/>
          <w:color w:val="000000" w:themeColor="text1"/>
          <w:sz w:val="24"/>
          <w:szCs w:val="24"/>
        </w:rPr>
      </w:pPr>
      <w:r>
        <w:rPr>
          <w:rFonts w:ascii="Times New Roman" w:hAnsi="Times New Roman"/>
          <w:color w:val="000000" w:themeColor="text1"/>
          <w:sz w:val="24"/>
          <w:szCs w:val="24"/>
        </w:rPr>
        <w:t>Fontos számunkra, hogy a mélyszegénységben élők helyzetében hosszú távra szóló, pozitív változás következzen be.</w:t>
      </w:r>
    </w:p>
    <w:p w:rsidR="00795A46" w:rsidRDefault="00795A46" w:rsidP="00795A46">
      <w:pPr>
        <w:pStyle w:val="Nincstrkz"/>
        <w:numPr>
          <w:ilvl w:val="0"/>
          <w:numId w:val="31"/>
        </w:numPr>
        <w:jc w:val="both"/>
        <w:rPr>
          <w:rFonts w:ascii="Times New Roman" w:hAnsi="Times New Roman"/>
          <w:color w:val="000000" w:themeColor="text1"/>
          <w:sz w:val="24"/>
          <w:szCs w:val="24"/>
        </w:rPr>
      </w:pPr>
      <w:r>
        <w:rPr>
          <w:rFonts w:ascii="Times New Roman" w:hAnsi="Times New Roman"/>
          <w:color w:val="000000" w:themeColor="text1"/>
          <w:sz w:val="24"/>
          <w:szCs w:val="24"/>
        </w:rPr>
        <w:t>Kiemelt területnek tartjuk, hogy a gyerekek egyenlő eséllyel férjenek hozzá az oktatáshoz, biztosított legyen az egészséges fejlődésükhöz szükséges családi, közösségi és anyagi háttér.</w:t>
      </w:r>
    </w:p>
    <w:p w:rsidR="00795A46" w:rsidRDefault="00795A46" w:rsidP="00795A46">
      <w:pPr>
        <w:pStyle w:val="Nincstrkz"/>
        <w:numPr>
          <w:ilvl w:val="0"/>
          <w:numId w:val="31"/>
        </w:numPr>
        <w:jc w:val="both"/>
        <w:rPr>
          <w:rFonts w:ascii="Times New Roman" w:hAnsi="Times New Roman"/>
          <w:color w:val="000000" w:themeColor="text1"/>
          <w:sz w:val="24"/>
          <w:szCs w:val="24"/>
        </w:rPr>
      </w:pPr>
      <w:r>
        <w:rPr>
          <w:rFonts w:ascii="Times New Roman" w:hAnsi="Times New Roman"/>
          <w:color w:val="000000" w:themeColor="text1"/>
          <w:sz w:val="24"/>
          <w:szCs w:val="24"/>
        </w:rPr>
        <w:t>Folyamatosan odafigyelünk az idősek társadalmi helyzetének, közöségi részvételének javítására, a szolgáltatásokhoz és információhoz való hozzájutásra, valamint figyelemmel kísérjük az egészségi állapotukban és életvitelükben bekövetkezett változásokat.</w:t>
      </w:r>
    </w:p>
    <w:p w:rsidR="00795A46" w:rsidRDefault="00795A46" w:rsidP="00795A46">
      <w:pPr>
        <w:pStyle w:val="Nincstrkz"/>
        <w:numPr>
          <w:ilvl w:val="0"/>
          <w:numId w:val="31"/>
        </w:numPr>
        <w:jc w:val="both"/>
        <w:rPr>
          <w:rFonts w:ascii="Times New Roman" w:hAnsi="Times New Roman"/>
          <w:color w:val="000000" w:themeColor="text1"/>
          <w:sz w:val="24"/>
          <w:szCs w:val="24"/>
        </w:rPr>
      </w:pPr>
      <w:r>
        <w:rPr>
          <w:rFonts w:ascii="Times New Roman" w:hAnsi="Times New Roman"/>
          <w:color w:val="000000" w:themeColor="text1"/>
          <w:sz w:val="24"/>
          <w:szCs w:val="24"/>
        </w:rPr>
        <w:t>Elengedhetetlennek tartjuk a nők esetén a munkahelyi diszkrimináció csökkentését, védett tulajdonságuk miatt.</w:t>
      </w:r>
    </w:p>
    <w:p w:rsidR="00795A46" w:rsidRDefault="00795A46" w:rsidP="00795A46">
      <w:pPr>
        <w:pStyle w:val="Nincstrkz"/>
        <w:numPr>
          <w:ilvl w:val="0"/>
          <w:numId w:val="31"/>
        </w:numPr>
        <w:jc w:val="both"/>
        <w:rPr>
          <w:rFonts w:ascii="Times New Roman" w:hAnsi="Times New Roman"/>
          <w:color w:val="000000" w:themeColor="text1"/>
          <w:sz w:val="24"/>
          <w:szCs w:val="24"/>
        </w:rPr>
      </w:pPr>
      <w:r>
        <w:rPr>
          <w:rFonts w:ascii="Times New Roman" w:hAnsi="Times New Roman"/>
          <w:color w:val="000000" w:themeColor="text1"/>
          <w:sz w:val="24"/>
          <w:szCs w:val="24"/>
        </w:rPr>
        <w:t>Különös figyelmet fordítunk a fogyatékkal élők esélyegyenlőségére, az őket megillető különleges bánásmód meglétére, az akadálymentesítést szolgáló intézkedésekre.</w:t>
      </w:r>
    </w:p>
    <w:p w:rsidR="00795A46" w:rsidRDefault="00795A46" w:rsidP="00795A46">
      <w:pPr>
        <w:pStyle w:val="Cmsor4"/>
        <w:pBdr>
          <w:top w:val="none" w:sz="0" w:space="0" w:color="auto"/>
          <w:left w:val="none" w:sz="0" w:space="0" w:color="auto"/>
          <w:bottom w:val="none" w:sz="0" w:space="0" w:color="auto"/>
          <w:right w:val="none" w:sz="0" w:space="0" w:color="auto"/>
        </w:pBdr>
        <w:rPr>
          <w:rFonts w:ascii="Times New Roman" w:hAnsi="Times New Roman"/>
          <w:szCs w:val="28"/>
        </w:rPr>
      </w:pPr>
      <w:bookmarkStart w:id="137" w:name="__RefHeading__277_1906745769"/>
      <w:bookmarkEnd w:id="137"/>
      <w:r>
        <w:rPr>
          <w:rFonts w:ascii="Times New Roman" w:hAnsi="Times New Roman"/>
        </w:rPr>
        <w:t xml:space="preserve"> </w:t>
      </w:r>
    </w:p>
    <w:p w:rsidR="00795A46" w:rsidRDefault="00795A46" w:rsidP="00795A46">
      <w:pPr>
        <w:suppressAutoHyphens w:val="0"/>
        <w:jc w:val="left"/>
        <w:rPr>
          <w:rFonts w:ascii="Times New Roman" w:hAnsi="Times New Roman"/>
          <w:bCs/>
          <w:sz w:val="24"/>
          <w:szCs w:val="28"/>
        </w:rPr>
        <w:sectPr w:rsidR="00795A46" w:rsidSect="00073673">
          <w:pgSz w:w="11906" w:h="16838"/>
          <w:pgMar w:top="1134" w:right="1134" w:bottom="1134" w:left="1134" w:header="720" w:footer="709" w:gutter="0"/>
          <w:cols w:space="708"/>
        </w:sectPr>
      </w:pPr>
    </w:p>
    <w:p w:rsidR="00795A46" w:rsidRDefault="00795A46" w:rsidP="00795A46">
      <w:pPr>
        <w:pStyle w:val="Cmsor3"/>
        <w:spacing w:before="0" w:after="0"/>
        <w:rPr>
          <w:rFonts w:ascii="Times New Roman" w:hAnsi="Times New Roman"/>
          <w:szCs w:val="24"/>
        </w:rPr>
      </w:pPr>
      <w:bookmarkStart w:id="138" w:name="__RefHeading__279_1906745769"/>
      <w:bookmarkStart w:id="139" w:name="_Toc49500667"/>
      <w:bookmarkStart w:id="140" w:name="_Toc119566846"/>
      <w:bookmarkEnd w:id="138"/>
      <w:r>
        <w:rPr>
          <w:rFonts w:ascii="Times New Roman" w:hAnsi="Times New Roman"/>
          <w:szCs w:val="24"/>
        </w:rPr>
        <w:t>2. Összegző táblázat - A Helyi Esélyegyenlőségi Program Intézkedési Terve (HEP IT)</w:t>
      </w:r>
      <w:bookmarkEnd w:id="139"/>
      <w:bookmarkEnd w:id="140"/>
    </w:p>
    <w:p w:rsidR="00795A46" w:rsidRDefault="00795A46" w:rsidP="00795A46">
      <w:pPr>
        <w:rPr>
          <w:rFonts w:ascii="Times New Roman" w:hAnsi="Times New Roman"/>
          <w:sz w:val="24"/>
        </w:rPr>
      </w:pPr>
      <w:bookmarkStart w:id="141" w:name="_Hlk522176101"/>
    </w:p>
    <w:tbl>
      <w:tblPr>
        <w:tblW w:w="5000" w:type="pct"/>
        <w:tblCellMar>
          <w:left w:w="0" w:type="dxa"/>
          <w:right w:w="0" w:type="dxa"/>
        </w:tblCellMar>
        <w:tblLook w:val="04A0" w:firstRow="1" w:lastRow="0" w:firstColumn="1" w:lastColumn="0" w:noHBand="0" w:noVBand="1"/>
      </w:tblPr>
      <w:tblGrid>
        <w:gridCol w:w="694"/>
        <w:gridCol w:w="1379"/>
        <w:gridCol w:w="1259"/>
        <w:gridCol w:w="1497"/>
        <w:gridCol w:w="1245"/>
        <w:gridCol w:w="864"/>
        <w:gridCol w:w="1379"/>
        <w:gridCol w:w="828"/>
        <w:gridCol w:w="997"/>
        <w:gridCol w:w="119"/>
        <w:gridCol w:w="1237"/>
        <w:gridCol w:w="1068"/>
        <w:gridCol w:w="48"/>
        <w:gridCol w:w="1378"/>
        <w:gridCol w:w="1133"/>
      </w:tblGrid>
      <w:tr w:rsidR="00795A46" w:rsidTr="00795A46">
        <w:trPr>
          <w:trHeight w:val="319"/>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rPr>
                <w:rFonts w:ascii="Times New Roman" w:hAnsi="Times New Roman"/>
                <w:sz w:val="24"/>
              </w:rPr>
            </w:pP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B</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D</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E</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F</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G</w:t>
            </w:r>
          </w:p>
        </w:tc>
        <w:tc>
          <w:tcPr>
            <w:tcW w:w="282"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w:t>
            </w:r>
          </w:p>
        </w:tc>
        <w:tc>
          <w:tcPr>
            <w:tcW w:w="338"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I</w:t>
            </w:r>
          </w:p>
        </w:tc>
        <w:tc>
          <w:tcPr>
            <w:tcW w:w="367"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J</w:t>
            </w:r>
          </w:p>
        </w:tc>
        <w:tc>
          <w:tcPr>
            <w:tcW w:w="32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K</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L</w:t>
            </w:r>
          </w:p>
        </w:tc>
      </w:tr>
      <w:tr w:rsidR="00795A46" w:rsidTr="00795A46">
        <w:trPr>
          <w:trHeight w:val="1644"/>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Intézkedés sorszáma</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intézkedés címe, megnevezése</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helyzetelemzés következtetéseiben feltárt probléma megnevezése</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intézkedéssel elérni kívánt cél</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cél összhangja más helyi stratégiai dokumentumokkal</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cél kapcsolódása országos szakmapolitikai stratégiákhoz </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intézkedés tartalma</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intézkedés felelőse</w:t>
            </w:r>
          </w:p>
        </w:tc>
        <w:tc>
          <w:tcPr>
            <w:tcW w:w="282"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intézkedés megvalósításának határideje</w:t>
            </w:r>
          </w:p>
        </w:tc>
        <w:tc>
          <w:tcPr>
            <w:tcW w:w="338"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intézkedés eredményességét mérő indikátor(ok)</w:t>
            </w:r>
          </w:p>
        </w:tc>
        <w:tc>
          <w:tcPr>
            <w:tcW w:w="367"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intézkedés megvalósításához szükséges erőforrások (humán, pénzügyi, technikai)</w:t>
            </w:r>
          </w:p>
        </w:tc>
        <w:tc>
          <w:tcPr>
            <w:tcW w:w="32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intézkedés eredményeinek fenntarthatósága</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Önkormányzatok közötti együttműködésben megvalósuló intézkedés esetében az együttműködés bemutatása</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Pr>
          <w:p w:rsidR="00795A46" w:rsidRDefault="00795A46">
            <w:pPr>
              <w:spacing w:line="256" w:lineRule="auto"/>
              <w:jc w:val="center"/>
              <w:rPr>
                <w:rFonts w:ascii="Times New Roman" w:hAnsi="Times New Roman"/>
                <w:b/>
                <w:sz w:val="20"/>
                <w:szCs w:val="20"/>
              </w:rPr>
            </w:pPr>
          </w:p>
        </w:tc>
        <w:tc>
          <w:tcPr>
            <w:tcW w:w="4305" w:type="pct"/>
            <w:gridSpan w:val="13"/>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tcPr>
          <w:p w:rsidR="00795A46" w:rsidRDefault="00795A46">
            <w:pPr>
              <w:spacing w:line="256" w:lineRule="auto"/>
              <w:jc w:val="center"/>
              <w:rPr>
                <w:rFonts w:ascii="Times New Roman" w:hAnsi="Times New Roman"/>
                <w:b/>
                <w:sz w:val="20"/>
                <w:szCs w:val="20"/>
              </w:rPr>
            </w:pP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tcPr>
          <w:p w:rsidR="00795A46" w:rsidRDefault="00795A46">
            <w:pPr>
              <w:spacing w:line="256" w:lineRule="auto"/>
              <w:jc w:val="center"/>
              <w:rPr>
                <w:rFonts w:ascii="Times New Roman" w:hAnsi="Times New Roman"/>
                <w:sz w:val="20"/>
                <w:szCs w:val="20"/>
              </w:rPr>
            </w:pP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tcPr>
          <w:p w:rsidR="00795A46" w:rsidRDefault="00795A46">
            <w:pPr>
              <w:spacing w:line="256" w:lineRule="auto"/>
              <w:jc w:val="center"/>
              <w:rPr>
                <w:rFonts w:ascii="Times New Roman" w:hAnsi="Times New Roman"/>
                <w:sz w:val="24"/>
              </w:rPr>
            </w:pPr>
          </w:p>
        </w:tc>
        <w:tc>
          <w:tcPr>
            <w:tcW w:w="4761" w:type="pct"/>
            <w:gridSpan w:val="14"/>
            <w:tcBorders>
              <w:top w:val="single" w:sz="6" w:space="0" w:color="B1B1B1"/>
              <w:left w:val="single" w:sz="6" w:space="0" w:color="B1B1B1"/>
              <w:bottom w:val="single" w:sz="6" w:space="0" w:color="B1B1B1"/>
              <w:right w:val="single" w:sz="2" w:space="0" w:color="B1B1B1"/>
            </w:tcBorders>
            <w:tcMar>
              <w:top w:w="60" w:type="dxa"/>
              <w:left w:w="60" w:type="dxa"/>
              <w:bottom w:w="60" w:type="dxa"/>
              <w:right w:w="60" w:type="dxa"/>
            </w:tcMar>
            <w:hideMark/>
          </w:tcPr>
          <w:p w:rsidR="00795A46" w:rsidRDefault="00795A46" w:rsidP="00795A46">
            <w:pPr>
              <w:numPr>
                <w:ilvl w:val="0"/>
                <w:numId w:val="32"/>
              </w:numPr>
              <w:spacing w:line="256" w:lineRule="auto"/>
              <w:jc w:val="center"/>
              <w:rPr>
                <w:rFonts w:ascii="Times New Roman" w:hAnsi="Times New Roman"/>
                <w:b/>
                <w:sz w:val="24"/>
              </w:rPr>
            </w:pPr>
            <w:r>
              <w:rPr>
                <w:rFonts w:ascii="Times New Roman" w:hAnsi="Times New Roman"/>
                <w:b/>
                <w:sz w:val="24"/>
              </w:rPr>
              <w:t xml:space="preserve"> Településszintű probléma</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1</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Biztonságos járdahálózat</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 xml:space="preserve">A járdahálózat-fejlesztésre szorul. A település járdarendszere több helyen elavult, elöregedett, </w:t>
            </w:r>
            <w:r>
              <w:rPr>
                <w:rFonts w:ascii="Times New Roman" w:hAnsi="Times New Roman"/>
                <w:sz w:val="20"/>
                <w:szCs w:val="20"/>
              </w:rPr>
              <w:t xml:space="preserve">9894 </w:t>
            </w:r>
            <w:r>
              <w:rPr>
                <w:rFonts w:ascii="Times New Roman" w:hAnsi="Times New Roman"/>
                <w:color w:val="000000" w:themeColor="text1"/>
                <w:sz w:val="20"/>
                <w:szCs w:val="20"/>
              </w:rPr>
              <w:t xml:space="preserve">méteren pedig hiányzik. A babakocsik, a kerekesszékesek és a gyermekkerékpárok számára a régebben épített járdák kevéssé alkalmasak a közlekedésre. </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 utcáinak járdáin biztonságosan közlekedhetnek a gyalogosok, kerekesszékesek, babakocsisok.</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Társadalmi-Gazdasági Programjában (2020-2026) szereplő intézkedés</w:t>
            </w:r>
          </w:p>
        </w:tc>
        <w:tc>
          <w:tcPr>
            <w:tcW w:w="390" w:type="pct"/>
            <w:tcBorders>
              <w:top w:val="single" w:sz="6" w:space="0" w:color="B1B1B1"/>
              <w:left w:val="single" w:sz="6" w:space="0" w:color="B1B1B1"/>
              <w:bottom w:val="single" w:sz="6" w:space="0" w:color="B1B1B1"/>
              <w:right w:val="single" w:sz="6" w:space="0" w:color="B1B1B1"/>
            </w:tcBorders>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p w:rsidR="00795A46" w:rsidRDefault="00795A46">
            <w:pPr>
              <w:spacing w:line="256" w:lineRule="auto"/>
              <w:jc w:val="center"/>
              <w:rPr>
                <w:rFonts w:ascii="Times New Roman" w:hAnsi="Times New Roman"/>
                <w:sz w:val="20"/>
                <w:szCs w:val="20"/>
              </w:rPr>
            </w:pP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járdahálózat teljes településen történő kiépítése szükséges: közel 10.000 méter járda építése, a meglévő sérült, veszélyes járdaszakaszok alkalmassá tételét a babakocsik és kerekesszékesek közlekedésére tartalmazza az intézkedés.</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B65BC1">
            <w:pPr>
              <w:spacing w:line="256" w:lineRule="auto"/>
              <w:jc w:val="center"/>
              <w:rPr>
                <w:rFonts w:ascii="Times New Roman" w:hAnsi="Times New Roman"/>
                <w:sz w:val="20"/>
                <w:szCs w:val="20"/>
              </w:rPr>
            </w:pPr>
            <w:r>
              <w:rPr>
                <w:rFonts w:ascii="Times New Roman" w:hAnsi="Times New Roman"/>
                <w:sz w:val="20"/>
                <w:szCs w:val="20"/>
              </w:rPr>
              <w:t>2027</w:t>
            </w:r>
            <w:r w:rsidR="00795A46">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megépült járdaszakaszok, felújított régen épült járdák</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kiépített és felújított járdahálózat évtizedeken át szolgálja a város lakóit.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2</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Biztonságos kerékpárút-hálózat</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themeColor="text1"/>
                <w:sz w:val="20"/>
                <w:szCs w:val="20"/>
              </w:rPr>
              <w:t>A kerékpárút-hálózat fejlesztésre szorul</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 kerékpárútjain biztonságosan és akadálymentesen közlekedhetnek a kerékpárosok és a motoros kerekesszékkel közlekedők is.</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Társadalmi-Gazdasági Programjában (2020-2026) szereplő intézkedés</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 meglévő kerékpárútjait fel kell újítani, valamint egyes útszakaszokon új kerékpárutak kijelölése és építése szükséges.</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felújított kerékpárutak, újonnan épült kerékpárutak</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kiépített és felújított kerékpárút-hálózat évtizedeken át szolgálja a város lakóit.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3</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Biztonságos közlekedést segítő közvilágítás</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color w:val="000000" w:themeColor="text1"/>
                <w:sz w:val="20"/>
                <w:szCs w:val="20"/>
              </w:rPr>
              <w:t xml:space="preserve"> Az elavult közvilágítás fejlesztésre szorul.</w:t>
            </w:r>
            <w:r>
              <w:rPr>
                <w:rFonts w:ascii="Times New Roman" w:hAnsi="Times New Roman"/>
                <w:sz w:val="20"/>
                <w:szCs w:val="20"/>
              </w:rPr>
              <w:t xml:space="preserve"> A közvilágítás nem megfelelő az iskolaépületek és sportlétesítmények környékén, ez korlátozza a biztonságos közlekedést.</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közvilágítás hatékonyan segítse az éjszakai közlekedést és segítse elő a közbiztonság javulását.</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Társadalmi-Gazdasági Programjában (2020-2026) szereplő intézkedés</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település belterületén a közvilágítást biztosító lámpatesteket a fényerő növelése érdekében korszerű fényforrásokkal kell ellátni, máshol a indokolt helyeken új LED, illetve napelemes lámpatesteket kell kihelyezni. </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B65BC1">
            <w:pPr>
              <w:spacing w:line="256" w:lineRule="auto"/>
              <w:jc w:val="center"/>
              <w:rPr>
                <w:rFonts w:ascii="Times New Roman" w:hAnsi="Times New Roman"/>
                <w:sz w:val="20"/>
                <w:szCs w:val="20"/>
              </w:rPr>
            </w:pPr>
            <w:r>
              <w:rPr>
                <w:rFonts w:ascii="Times New Roman" w:hAnsi="Times New Roman"/>
                <w:sz w:val="20"/>
                <w:szCs w:val="20"/>
              </w:rPr>
              <w:t>2027</w:t>
            </w:r>
            <w:r w:rsidR="00795A46">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közvilágítást biztosító lámpatestekben elhelyezett korszerű fényforrások, kevesebb regisztrált közlekedési baleset</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felújított közvilágítási hálózat energiahatékonyan biztosítja a helyi közlekedés és a közbiztonság feltételeit.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4</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közbiztonság fejlesztése</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A közbiztonság fejlesztésre szorul.</w:t>
            </w:r>
          </w:p>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 közbiztonsága különösen rendezvények után vagy a kihelyezett ünnepi dekorációk közelében nem minden esetben felel meg a kifogástalanság kritériumainak</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 közbiztonságának gyors, hatékony és fenntartható javítása a cél.</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Társadalmi-Gazdasági Programjában (2020-2026) szereplő intézkedés</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 belterületén, a közterületeken és a település határainál térfigyelőkamera-rendszer kerül kihelyezésre és folyamatos üzemeltetésre.</w:t>
            </w:r>
          </w:p>
          <w:p w:rsidR="00795A46" w:rsidRDefault="00795A46">
            <w:pPr>
              <w:spacing w:line="256" w:lineRule="auto"/>
              <w:jc w:val="center"/>
              <w:rPr>
                <w:rFonts w:ascii="Times New Roman" w:hAnsi="Times New Roman"/>
                <w:sz w:val="20"/>
                <w:szCs w:val="20"/>
              </w:rPr>
            </w:pPr>
          </w:p>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 közbiztonsága általában jónak mondható, azonban a rászorulók védelmét szolgálja, ha a térfigyelő kamerarendszer jelenléte visszatartja a garázdaságtól a lehetséges bűnelkövetőket. A gyermekek számára a közterületekre kihelyezett ünnepi, alkalmi vagy tartós használatra szánt élményelemek védelme, és az azokkal játszó gyermekek védelme mellett a közterületen áthaladó idősekre, védelemre szoruló személyekre is gondolunk ezzel a fejlesztéssel.</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közterületi térfigyelőkamera-rendszert kiépítették, bővítették, a közterületen elkövetett szabálysértések, bűncselekmények száma visszaszorult.</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kialakított és folyamatosan fejlesztett térfigyelőkamera-rendszer üzemeltetése a település közbiztonságát szolgálja éveken át.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5</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Belterületi utak burkolása, útalap-készítés</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burkolatlan illetve útalap nélküli utcák burkolásra szorulnak. </w:t>
            </w:r>
            <w:r>
              <w:rPr>
                <w:rFonts w:ascii="Times New Roman" w:hAnsi="Times New Roman"/>
                <w:color w:val="000000"/>
                <w:sz w:val="20"/>
                <w:szCs w:val="20"/>
              </w:rPr>
              <w:t>Több helyi közlekedési útburkolatunk, járdánk állapota még ma is elmarad a kívánatostól, ez ront a közlekedési lehetőségeken, hiszen a rossz úthálózaton nehezebb eljutni a munkába vagy az iskolába.</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 belterületén az útburkolatok felújítása illetve kialakítása a cél.</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Társadalmi-Gazdasági Programjában (2020-2026) szereplő intézkedés</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color w:val="000000"/>
                <w:sz w:val="20"/>
                <w:szCs w:val="20"/>
              </w:rPr>
            </w:pPr>
            <w:r>
              <w:rPr>
                <w:rFonts w:ascii="Times New Roman" w:hAnsi="Times New Roman"/>
                <w:sz w:val="20"/>
                <w:szCs w:val="20"/>
              </w:rPr>
              <w:t>A település belterületi útjai útalappal lesznek ellátva, újra burkolásra kerülnek illetve új burkolt útként lesznek kialakítva.</w:t>
            </w:r>
            <w:r>
              <w:rPr>
                <w:rFonts w:ascii="Times New Roman" w:hAnsi="Times New Roman"/>
                <w:color w:val="000000"/>
                <w:sz w:val="20"/>
                <w:szCs w:val="20"/>
              </w:rPr>
              <w:t xml:space="preserve"> </w:t>
            </w:r>
          </w:p>
          <w:p w:rsidR="00795A46" w:rsidRDefault="00795A46">
            <w:pPr>
              <w:spacing w:line="256" w:lineRule="auto"/>
              <w:jc w:val="center"/>
              <w:rPr>
                <w:rFonts w:ascii="Times New Roman" w:hAnsi="Times New Roman"/>
                <w:sz w:val="20"/>
                <w:szCs w:val="20"/>
              </w:rPr>
            </w:pPr>
            <w:r>
              <w:rPr>
                <w:rFonts w:ascii="Times New Roman" w:hAnsi="Times New Roman"/>
                <w:color w:val="000000"/>
                <w:sz w:val="20"/>
                <w:szCs w:val="20"/>
              </w:rPr>
              <w:t>Szükséges több önkormányzati utunk burkolatának korszerűsítése, ilyenek pl. az Arany János, a Hóvirág, a Mikszáth, és az Október 6. utca. Szükséges a járdaépítés folytatása is, valamint foglalkoznunk kell a még útalappal sem rendelkező utcák lakóút-terveinek elkészítésével is.</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az utcák közlekedési felületeit leburkolták, a földesutak aránya jelentősen visszaszorult, a kátyús, hiányos útburkolatból eredő járműsérülések és közlekedési balesetek száma csökken  </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útalappal ellátott és a burkolt utcák mindenféle közlekedés biztonságát és a járművek állagmegóvását szolgálják évtizedeken át.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6</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Okos-zebra kialakítása a település több gyalogátkelési pontján</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themeColor="text1"/>
                <w:sz w:val="20"/>
                <w:szCs w:val="20"/>
              </w:rPr>
              <w:t xml:space="preserve">A Rákóczi és a Békéscsabai utcai közúti gyalogátkelőhelyek, valamint a Bajcsy-Zsilinszky utcai közúti gyalogos átkelési pontok közül minél többnek az ún. „okos-zebrával” való kiegészítése a balesetek és balesetveszélyes helyzetek visszaszorítása érdekében. </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themeColor="text1"/>
                <w:sz w:val="20"/>
                <w:szCs w:val="20"/>
              </w:rPr>
              <w:t>Cél, hogy a lassabban közlekedő, nehezebben mozgó gyalogosok (többségében idősek és mozgáskorlátozottak) is biztonságban áthaladhassanak a zebrán az okos-zebra segítségével.</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tcPr>
          <w:p w:rsidR="00795A46" w:rsidRDefault="00795A46">
            <w:pPr>
              <w:spacing w:line="256" w:lineRule="auto"/>
              <w:jc w:val="center"/>
              <w:rPr>
                <w:rFonts w:ascii="Times New Roman" w:hAnsi="Times New Roman"/>
                <w:sz w:val="20"/>
                <w:szCs w:val="20"/>
              </w:rPr>
            </w:pP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themeColor="text1"/>
                <w:sz w:val="20"/>
                <w:szCs w:val="20"/>
              </w:rPr>
              <w:t>A járdaszakaszok felújítása pályázati forrásból valósítható meg, és a fejlesztés eredményeképpen biztonságos közlekedési útvonalak alakulnak ki az idősek számára.</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kialakított és energiahatékonyan üzemeltetett okos-zebrák száma nő.</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okos-zebra napelemes működése miatt hosszú távon energiahatékonyan üzemeltethető.</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tcPr>
          <w:p w:rsidR="00795A46" w:rsidRDefault="00795A46">
            <w:pPr>
              <w:spacing w:line="256" w:lineRule="auto"/>
              <w:jc w:val="center"/>
              <w:rPr>
                <w:rFonts w:ascii="Times New Roman" w:hAnsi="Times New Roman"/>
                <w:sz w:val="20"/>
                <w:szCs w:val="20"/>
              </w:rPr>
            </w:pP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Pr>
          <w:p w:rsidR="00795A46" w:rsidRDefault="00795A46">
            <w:pPr>
              <w:spacing w:line="256" w:lineRule="auto"/>
              <w:jc w:val="center"/>
              <w:rPr>
                <w:rFonts w:ascii="Times New Roman" w:hAnsi="Times New Roman"/>
                <w:b/>
                <w:sz w:val="24"/>
              </w:rPr>
            </w:pPr>
          </w:p>
        </w:tc>
        <w:tc>
          <w:tcPr>
            <w:tcW w:w="4305" w:type="pct"/>
            <w:gridSpan w:val="13"/>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b/>
                <w:sz w:val="24"/>
              </w:rPr>
            </w:pPr>
            <w:r>
              <w:rPr>
                <w:rFonts w:ascii="Times New Roman" w:hAnsi="Times New Roman"/>
                <w:b/>
                <w:sz w:val="24"/>
              </w:rPr>
              <w:t>I. A mélyszegénységben élők és a romák esélyegyenlősége</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rPr>
                <w:rFonts w:ascii="Times New Roman" w:hAnsi="Times New Roman"/>
                <w:b/>
                <w:sz w:val="24"/>
              </w:rPr>
            </w:pP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1</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Biztos Kezdet Gyermekház létrehozása a mélyszegénység visszaszorítása érdekében</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color w:val="000000"/>
                <w:sz w:val="20"/>
                <w:szCs w:val="20"/>
              </w:rPr>
              <w:t>A hátrányos helyzetű családokban nevelkedő gyermekek ingerszegény környezetben élnek, hiányzó szociális kompetenciák érzékelhetők.</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Biztos Kezdet Gyermekház kialakításával és üzemeltetésével a kisgyermekek és a hátrányos helyzetű gyermekek számára biztosított lesz az óvodaérettséghez szükséges szocializáció. </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114/2017. (IX.6.) számú határozatával elfogadott Szolgáltatástervezési Koncepciójában szereplő intézkedés</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sz w:val="20"/>
                <w:szCs w:val="20"/>
              </w:rPr>
              <w:t>Biztos Kezdet Gyerekház létrehozása pályázati forrás elérhetősége esetén</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Biztos Kezdet Gyermekházba felvett és ott ellátott gyermekek száma</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Biztos Kezdet Gyermekház létesítése és üzemeltetése a jogszabályi környezet támogatás esetén évtizedeken át szolgálja a legkisebb és a hátrányos helyzetű gyermekek szocializációját. </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2</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Út a munkába!</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color w:val="000000"/>
                <w:sz w:val="20"/>
                <w:szCs w:val="20"/>
              </w:rPr>
              <w:t>A munkavállalási lehetőségek szűkösek</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 leghátrányosabb helyzetű munkavállalói számára lehetőséget kell teremteni a munka világába való beilleszkedésre.</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rPr>
                <w:rFonts w:ascii="Times New Roman" w:hAnsi="Times New Roman"/>
                <w:sz w:val="20"/>
                <w:szCs w:val="20"/>
              </w:rPr>
            </w:pP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sz w:val="20"/>
                <w:szCs w:val="20"/>
              </w:rPr>
              <w:t>Képzések, átképzések, munkaerőpiaci szolgáltatás, információk elérhetővé tétele, valamint a közfoglalkoztatás „helyi húzóágazatainak” fenntartása: pl. seprűkötés, drótfonás, téglagyártás és szőnyegszövés. Fontosnak tartjuk a közétkeztetés céljára felvásárolható mezőgazdasági termékek termelésének újraindítását is, amellyel munkahelyet és élelmiszer-alapanyagot is létrehozhatunk.</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közfoglalkoztatásban vagy a szabad munkaerőpiacon elhelyezkedett hátrányos helyzetű munkavállalók száma</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sikeres intézkedés eredménye, hogy minél több mélyszegénységben élő tartósan munkanélküli személy munkát vállal, a szociális ellátásra való szükségük csökken, a létfenntartásukról tartósan önmaguk gondoskodnak. </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3</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Öngondoskodásra ösztönzés</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color w:val="000000"/>
                <w:sz w:val="20"/>
                <w:szCs w:val="20"/>
              </w:rPr>
              <w:t>Eladósodottság, hátrányos helyzet generációkon keresztüli átöröklődése</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mélyszegénységben élők közül számosan életvezetési nehézségekkel, eladósodottsággal küzdenek. A kitörési pontjaik megtalálását és az azon keresztüli életszemlélet-váltást célul tűzzük ki.</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114/2017. (IX.6.) számú határozatával elfogadott Szolgáltatástervezési Koncepciójában szereplő intézkedés</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sz w:val="20"/>
                <w:szCs w:val="20"/>
              </w:rPr>
              <w:t>Életvezetési tanácsadás, tanulás ösztönzése</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szociális ellátások iránti „kereslet” csökkenése</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 családtámogató szakemberek, mentálhigiénés szakemberek</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eladósodottság megszüntetésével az öngondoskodás kialakul, és életvezetési támogatással, munkahelymegtartással fenntartható marad.</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4</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Képzésekre ösztönzés</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Magas a 8 általánosnál magasabb iskolai végzettségű álláskeresők aránya</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Cél a munkavállaló korban lévő álláskeresők munkaerőpiaci integrációja képzésekkel, átképzésekkel.  </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114/2017. (IX.6.) számú határozatával elfogadott Szolgáltatástervezési Koncepciójában szereplő intézkedés</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Önérvényesítő tréningek szervezése, a képzési lehetőségek bemutatása</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munkaerőpiacra átképzéssel reintegrált álláskeresők száma nő, az így állást találtak száma nő</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 családtámogató szakemberek, mentálhigiénés szakemberek</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önérvényesítő tréningek szervezése, a képzési lehetőségek bemutatása folyamatos lehet az erre vonatkozóigények szerint.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5</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Napközi konyha korszerűsítése</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tcPr>
          <w:p w:rsidR="00795A46" w:rsidRDefault="00795A46">
            <w:pPr>
              <w:spacing w:line="256" w:lineRule="auto"/>
              <w:rPr>
                <w:rFonts w:ascii="Times New Roman" w:hAnsi="Times New Roman"/>
                <w:sz w:val="20"/>
                <w:szCs w:val="20"/>
              </w:rPr>
            </w:pPr>
            <w:r>
              <w:rPr>
                <w:rFonts w:ascii="Times New Roman" w:hAnsi="Times New Roman"/>
                <w:sz w:val="20"/>
                <w:szCs w:val="20"/>
              </w:rPr>
              <w:t>A szociálisan rászoruló családok gyermekeinek és a szociális étkeztetésre szoruló lakosoknak az otthoni élelmiszer-ellátottsága nem kielégítő.</w:t>
            </w:r>
          </w:p>
          <w:p w:rsidR="00795A46" w:rsidRDefault="00795A46">
            <w:pPr>
              <w:spacing w:line="256" w:lineRule="auto"/>
              <w:rPr>
                <w:rFonts w:ascii="Times New Roman" w:hAnsi="Times New Roman"/>
                <w:sz w:val="20"/>
                <w:szCs w:val="20"/>
              </w:rPr>
            </w:pPr>
          </w:p>
          <w:p w:rsidR="00795A46" w:rsidRDefault="00795A46">
            <w:pPr>
              <w:spacing w:line="256" w:lineRule="auto"/>
              <w:rPr>
                <w:rFonts w:ascii="Times New Roman" w:hAnsi="Times New Roman"/>
                <w:sz w:val="20"/>
                <w:szCs w:val="20"/>
              </w:rPr>
            </w:pP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napközi konyha épületét és eszközállományát érintő teljeskörű korszerűsítés</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114/2017. (IX.6.) számú határozatával elfogadott Szolgáltatástervezési Koncepciójában szereplő intézkedés</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sz w:val="20"/>
                <w:szCs w:val="20"/>
              </w:rPr>
              <w:t>A közétkeztetés korszerűsítése: település napközi konyhájának felújítása, technológiai és energetikai korszerűsítése a hatékonyabb ellátásért és a megnövekedett kapacitás-igények kiszolgálására</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korszerűsített napközi konyhán energiahatékonyan elkészült élelmiszeradagok megnövekedett száma, a szolgáltatást igénybe vevők megnövekedett száma</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korszerűsített napközi konyha épülete és szolgáltatásai költséghatékonyabban szolgálják a települési intézményhálózat és a megrendelők igényeit.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6</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Óvodai csoportszobák kialakítása</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sz w:val="20"/>
                <w:szCs w:val="20"/>
              </w:rPr>
            </w:pPr>
            <w:r>
              <w:rPr>
                <w:rFonts w:ascii="Times New Roman" w:hAnsi="Times New Roman"/>
                <w:color w:val="000000"/>
                <w:sz w:val="20"/>
                <w:szCs w:val="20"/>
              </w:rPr>
              <w:t>A települési születésszám növekszik, közöttük leginkább azon mélyszegénységben élő, sokgyermekes családok gyermekeinek száma nő, akiket szociális helyzetüknél fogva minél hamarabb az integrált nevelési-oktatási intézményünkbe kell befogadnunk.</w:t>
            </w:r>
          </w:p>
          <w:p w:rsidR="00795A46" w:rsidRDefault="00795A46">
            <w:pPr>
              <w:spacing w:line="256" w:lineRule="auto"/>
              <w:rPr>
                <w:rFonts w:ascii="Times New Roman" w:hAnsi="Times New Roman"/>
                <w:sz w:val="20"/>
                <w:szCs w:val="20"/>
              </w:rPr>
            </w:pPr>
            <w:r>
              <w:rPr>
                <w:rFonts w:ascii="Times New Roman" w:hAnsi="Times New Roman"/>
                <w:color w:val="000000"/>
                <w:sz w:val="20"/>
                <w:szCs w:val="20"/>
              </w:rPr>
              <w:t>A születésszám és az óvodakötelesek számának dinamikus növekedésével ugyanis kapacitáshiány lépett fel a településen.</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Cél, hogy az óvodaköteles korúakat befogadja és kiszolgálja az intézményhálózatunk. </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114/2017. (IX.6.) számú határozatával elfogadott Szolgáltatástervezési Koncepciójában szereplő intézkedés</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sz w:val="20"/>
                <w:szCs w:val="20"/>
              </w:rPr>
              <w:t>Sürgősen szükség van egy új csoportszobára önkormányzati óvodánk István király utcai feladatellátási helyén a 3 évesek kötelező óvodai nevelésének feladatellátása céljából.</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óvodaköteles óvodába beírt gyermekek számának növekedése, a kialakított óvodai csoportok számának növekedése</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megnövekedett óvodai létszám-kapacitással csökkenthető a jelenlegi csoportszobák zsúfoltsága és a szakemberek leterheltsége, nő az egy gyermekre jutó tér és a rászoruló gyermekre fordítható idő a nevelési idő során.</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7</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közfoglalkoztatásban szerzett munkatapasztalat átvitele a munkavállaló lakókörnyezetének megtartására, megújítására  </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color w:val="000000"/>
                <w:sz w:val="20"/>
                <w:szCs w:val="20"/>
              </w:rPr>
              <w:t>A mélyszegénységben élők környezetkultúrája edukációra szorul: javítaniuk kell pl. saját lakókörnyezetük állapotán, és az ehhez szükséges forrásokkal nem rendelkeznek. Tapasztalatunk, hogy a közfoglalkoztatásban résztvevők a közterületek szépítésével, ápolásával-gondozásával és a települési fásítással nemcsak új kompetenciákra, hanem új ösztönzőkre is szert tettek: saját lakókörnyezetük alakulására is hatással lett a feladatellátásuk során elvárt igényesség, amelyhez nem kellett komoly anyagi forrásokat befektetniük.</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Cél, hogy a közfoglalkoztatásban résztvevő mélyszegénységben élő személyek a munkatapasztalatukat otthonuk kialakítása és fenntartása tekintetében is alkalmazzák: pl. kertet műveljenek, gondozzák a csapadékvíz-elvezető rendszerüket, tegyék egészségesebbé saját lakókörnyezetüket.    </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tcPr>
          <w:p w:rsidR="00795A46" w:rsidRDefault="00795A46">
            <w:pPr>
              <w:spacing w:line="256" w:lineRule="auto"/>
              <w:jc w:val="center"/>
              <w:rPr>
                <w:rFonts w:ascii="Times New Roman" w:hAnsi="Times New Roman"/>
                <w:sz w:val="20"/>
                <w:szCs w:val="20"/>
              </w:rPr>
            </w:pP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sz w:val="20"/>
                <w:szCs w:val="20"/>
              </w:rPr>
              <w:t>A közfoglakoztatottak edukálására is szolgál a település felszíni csapadékvíz-elvezető árokrendszerének megújítása, amely hatással lehetne a munkát végzők saját otthonának csapadékvíz-elvezetésére és belvízmentesítésére. Ez az egészségi állapotukon is sokat javítana, mert csökkenne gyermekeik között az asztmások száma (e problémával később azután a helyi gyermek-egészségügy és a nevelési-oktatási intézmény is küzd, a felszámolása pedig kizárólag a személyek lakókörnyezetének egészségesebbé tételével együtt értelmezhető). Az ehhez vezető legrövidebb út a települési közműrendszerek problémáinak megoldása úgy, hogy munkához juttassuk a mélyszegénységben élőket, akik munkavégzésük közben tájékozódnak a témában, és ez jó hatással lesz lakókörnyezetükre is.</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lakókörnyezetét igényesebbé, egészségesebbé tett közfoglalkoztatottak számának növekedése</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 családtámogató szakemberek, mentálhigiénés szakemberek</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egészségesebb lakókörnyezetet kialakító, mélyszegénységben élő közfoglalkoztatottak számának növekedése, amely egészségesebb munkavállalókat eredményez.</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Pr>
          <w:p w:rsidR="00795A46" w:rsidRDefault="00795A46">
            <w:pPr>
              <w:spacing w:line="256" w:lineRule="auto"/>
              <w:jc w:val="center"/>
              <w:rPr>
                <w:rFonts w:ascii="Times New Roman" w:hAnsi="Times New Roman"/>
                <w:b/>
                <w:sz w:val="24"/>
              </w:rPr>
            </w:pPr>
          </w:p>
        </w:tc>
        <w:tc>
          <w:tcPr>
            <w:tcW w:w="4305" w:type="pct"/>
            <w:gridSpan w:val="13"/>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b/>
                <w:sz w:val="24"/>
              </w:rPr>
            </w:pPr>
            <w:r>
              <w:rPr>
                <w:rFonts w:ascii="Times New Roman" w:hAnsi="Times New Roman"/>
                <w:b/>
                <w:sz w:val="24"/>
              </w:rPr>
              <w:t>II. A gyermekek esélyegyenlősége</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rPr>
                <w:rFonts w:ascii="Times New Roman" w:hAnsi="Times New Roman"/>
                <w:b/>
                <w:sz w:val="24"/>
              </w:rPr>
            </w:pP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1</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Gyermekpszichológiai ellátás nyújtása Csorváson</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Nincs állandó pszichológiai ellátás</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Az igénylők magas száma miatt szükséges, hogy rendszeresen, helyben is elérhető legyen a gyermekpszichológiai szolgáltatás a településen. Cél, hogy minden olyan igénybevevőt kiszolgáljon a szolgáltatás, akinek a Szakszolgálat ezt fejlesztési célként előírta. </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114/2017. (IX.6.) számú határozatával elfogadott Szolgáltatástervezési Koncepciójában szereplő intézkedés</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Álláshely finanszírozásához forrásteremtés.</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gyermekpszichológiai szolgáltatást helyben igénybe vevő gyermekek számának emelkedése</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 családtámogató szakemberek, mentálhigiénés szakemberek</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gyermekpszichológiai szolgáltatást helyben igénybe vevő gyermekek mentális egészsége javul, és a szolgáltatás folyamatos nyújtásával fenntartható marad.</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2</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szünidei felügyeleti programkínálat bővítése</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Nincs változatos szünidei gyermekprogram és felügyelet</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Cél a változatos szünidei gyermekprogram és felügyelet kialakítása biztonságos helyszíneken.</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114/2017. (IX.6.) számú határozatával elfogadott Szolgáltatástervezési Koncepciójában szereplő intézkedés</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Szünidei felügyelethez az anyagi forrás biztosítása.</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Változatos szünidei gyermekprogramokon résztvevő gyermekek száma növekszik.</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 családtámogató szakemberek, mentálhigiénés szakemberek</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biztonságos helyszíneken megvalósított változatos szünidei gyermekprogramok és felügyelet hosszú távon is biztosítják a szülők munkaideje alatt a gyermekek szabadidejének hasznos eltöltését.  </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rPr>
                <w:rFonts w:ascii="Times New Roman" w:hAnsi="Times New Roman"/>
                <w:sz w:val="20"/>
                <w:szCs w:val="20"/>
              </w:rPr>
            </w:pP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3</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Életmódtanácsadás és felvilágosítás a kamaszoknak</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A nagyobb gyerekek tájékozatlanok szexuális téren, nincs egészséges jövőképük</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Cél, hogy életmódtanácsadással és szexuális felvilágosítással „eltereljük” a kiskorúak, fiatalkorúak dohányzását, droghasználatát és egyéb szenvedélybetegségekhez vezető útját, valamint az abortuszhoz vezető utat.</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114/2017. (IX.6.) számú határozatával elfogadott Szolgáltatástervezési Koncepciójában szereplő intézkedés</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Felvilágosító, életmód-tanácsadó órák tartása</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egészséges életmódra ösztönzött, káros szenvedélyektől mentes fiatalok arányának növekedése a településen</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 családtámogató szakemberek, mentálhigiénés szakemberek, védőnők, gyermekorvos, háziorvosok</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káros szenvedélyeket nélkülöző fiatalok továbbtanulási, munkavállalási és családalapítási esélyei és életkilátásai jobbak, mint a szerhasználó kortársaké, az egészséges életmód fenntartását ösztönözni szükséges minden generáció számára. </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4</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Biztos Kezdet Gyerekház létrehozása a gyermekek szocializációja érdekében</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A hátrányos helyzetű családok gyermekei szocializálatlanok, alultápláltak, elhanyagoltak</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Biztos Kezdet Gyerekház közösségében a hátrányos helyzetű gyermekek alultápláltsága, elhanyagoltsága csökkenthető, szocializációs készségeik növelhetők.</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114/2017. (IX.6.) számú határozatával elfogadott Szolgáltatástervezési Koncepciójában szereplő intézkedés</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Biztos Kezdet Gyerekház létrehozása pályázati forrásból</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Biztos Kezdet Gyermekházba felvett és ott ellátott gyermekek száma </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Biztos Kezdet Gyermekház létesítése és üzemeltetése a jogszabályi környezet támogatás esetén évtizedeken át szolgálja a legkisebb és a hátrányos helyzetű gyermekek szocializációját. </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5</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Óvodai csoportszobák kialakítása</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Az óvodaépületek „megteltek”, nincs több kapacitás az óvodáskorúak kötelező befogadására</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jc w:val="left"/>
              <w:rPr>
                <w:rFonts w:ascii="Times New Roman" w:hAnsi="Times New Roman"/>
                <w:color w:val="000000"/>
                <w:sz w:val="20"/>
                <w:szCs w:val="20"/>
              </w:rPr>
            </w:pPr>
            <w:r>
              <w:rPr>
                <w:rFonts w:ascii="Times New Roman" w:hAnsi="Times New Roman"/>
                <w:color w:val="000000"/>
                <w:sz w:val="20"/>
                <w:szCs w:val="20"/>
              </w:rPr>
              <w:t>A települési születésszám növekszik, közöttük sok  hátrányos vagy halmozottan hátrányos helyzetű gyermek, akiket szociális helyzetüknél fogva minél hamarabb az integrált nevelési-oktatási intézményünkbe kell befogadnunk.</w:t>
            </w:r>
          </w:p>
          <w:p w:rsidR="00795A46" w:rsidRDefault="00795A46">
            <w:pPr>
              <w:spacing w:line="256" w:lineRule="auto"/>
              <w:jc w:val="left"/>
              <w:rPr>
                <w:rFonts w:ascii="Times New Roman" w:hAnsi="Times New Roman"/>
                <w:sz w:val="20"/>
                <w:szCs w:val="20"/>
              </w:rPr>
            </w:pPr>
            <w:r>
              <w:rPr>
                <w:rFonts w:ascii="Times New Roman" w:hAnsi="Times New Roman"/>
                <w:color w:val="000000"/>
                <w:sz w:val="20"/>
                <w:szCs w:val="20"/>
              </w:rPr>
              <w:t>A születésszám és az óvodakötelesek számának dinamikus növekedésével ugyanis kapacitáshiány lépett fel a településen.</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114/2017. (IX.6.) számú határozatával elfogadott Szolgáltatástervezési Koncepciójában szereplő intézkedés</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István király utcai feladatellátási helyen új csoportszoba és többfunkciós terem kialakítása vált szükségessé</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tcPr>
          <w:p w:rsidR="00795A46" w:rsidRDefault="00795A46">
            <w:pPr>
              <w:spacing w:line="256" w:lineRule="auto"/>
            </w:pPr>
            <w:r>
              <w:rPr>
                <w:rFonts w:ascii="Times New Roman" w:hAnsi="Times New Roman"/>
                <w:sz w:val="20"/>
                <w:szCs w:val="20"/>
              </w:rPr>
              <w:t>Az óvodaköteles óvodába beírt gyermekek számának növekedése, a kialakított óvodai csoportok számának növekedése</w:t>
            </w:r>
          </w:p>
          <w:p w:rsidR="00795A46" w:rsidRDefault="00795A46">
            <w:pPr>
              <w:spacing w:line="256" w:lineRule="auto"/>
            </w:pPr>
            <w:r>
              <w:rPr>
                <w:rFonts w:ascii="Times New Roman" w:hAnsi="Times New Roman"/>
                <w:sz w:val="20"/>
                <w:szCs w:val="20"/>
              </w:rPr>
              <w:t>.</w:t>
            </w:r>
          </w:p>
          <w:p w:rsidR="00795A46" w:rsidRDefault="00795A46">
            <w:pPr>
              <w:spacing w:line="256" w:lineRule="auto"/>
              <w:jc w:val="center"/>
              <w:rPr>
                <w:rFonts w:ascii="Times New Roman" w:hAnsi="Times New Roman"/>
                <w:sz w:val="20"/>
                <w:szCs w:val="20"/>
              </w:rPr>
            </w:pP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megnövekedett óvodai létszám-kapacitással csökkenthető a jelenlegi csoportszobák zsúfoltsága és a szakemberek leterheltsége, nő az egy gyermekre jutó tér és a rászoruló gyermekre fordítható idő a nevelési idő során</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6</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Bringapark, játszóterek, futópálya, sportparkok kialakítása Csorváson</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A gyermekek hasznos szabadidő eltöltési lehetőségei korlátozottak a szabadban, biztonságos helyen</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Bringapark, játszóterek, futópálya, sportparkok kialakítása Csorvás belterületén, a gyermeke számára létrehozott biztonságos helyszíneken</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Társadalmi-Gazdasági Programjában (2020-2026) szereplő intézkedés</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Bringaparkot, játszótereket, futópályát szeretnénk létrehozni a meglévő sportpálya mellett, valamint sportparkokat a település idegenforgalmilag fontos, de a gyermekeket nem veszélyeztető közterületein</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Kialakított bringapark, játszóterek, futópálya, sportparkok száma, az ezeket használó gyermekek száma</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gyermekek hasznos szabadidő eltöltési lehetőségét számos sportcélú, biztonságos helyszín fogja szolgálni a következő évtizedekben. </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7</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Napközi konyha korszerűsítése</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A közétkeztetésben kínált ételek nem elégítik ki a különböző korosztályba tartozó, különböző ételallergiákkal élő gyermekek szükségleteit.</w:t>
            </w:r>
          </w:p>
          <w:p w:rsidR="00795A46" w:rsidRDefault="00795A46">
            <w:pPr>
              <w:spacing w:line="256" w:lineRule="auto"/>
              <w:rPr>
                <w:rFonts w:ascii="Times New Roman" w:hAnsi="Times New Roman"/>
                <w:sz w:val="20"/>
                <w:szCs w:val="20"/>
              </w:rPr>
            </w:pPr>
            <w:r>
              <w:rPr>
                <w:rFonts w:ascii="Times New Roman" w:hAnsi="Times New Roman"/>
                <w:sz w:val="20"/>
                <w:szCs w:val="20"/>
              </w:rPr>
              <w:t>A szociálisan rászoruló családok gyermekeinek és a szociális étkeztetésre szoruló lakosoknak az otthoni élelmiszer-ellátottsága nem kielégítő, a közétkeztetésben egészségesebb ételekhez juthatnak.</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napközi konyha épületét és eszközállományát érintő teljeskörű korszerűsítés</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Társadalmi-Gazdasági Programjában (2020-2026) szereplő intézkedés</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Csorvás, István király utca 34. szám alatti napközi konyha főzőkonyhájának, kiszolgáló helyiségeinek és étkezdéjének belső felújítása, átalakítása, bővítése, gép és technológia beszerzése és utólagos energetikai korszerűsítése</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B65BC1">
            <w:pPr>
              <w:spacing w:line="256" w:lineRule="auto"/>
              <w:jc w:val="center"/>
              <w:rPr>
                <w:rFonts w:ascii="Times New Roman" w:hAnsi="Times New Roman"/>
                <w:sz w:val="20"/>
                <w:szCs w:val="20"/>
              </w:rPr>
            </w:pPr>
            <w:r>
              <w:rPr>
                <w:rFonts w:ascii="Times New Roman" w:hAnsi="Times New Roman"/>
                <w:sz w:val="20"/>
                <w:szCs w:val="20"/>
              </w:rPr>
              <w:t>2027</w:t>
            </w:r>
            <w:r w:rsidR="00795A46">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korszerűsített napközi konyhán energiahatékonyan elkészült élelmiszeradagok megnövekedett száma, a szolgáltatást igénybe vevő gyermekek megnövekedett száma</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korszerűsített napközi konyha épülete és szolgáltatásai költséghatékonyabban szolgálják a települési intézményhálózat és a megrendelők igényeit.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8</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Művelődési ház és Könyvtár épületének korszerűsítése</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A Művelődési ház és Könyvtár épülete elavult fűtésrendszerű, magas költséggel üzemeltethető</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megújuló energiaforrásokat használó épületegyüttes korszerűen felújítva fogadja a nagyszámú érdeklődő gyermekeket tematikus programjain.</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Társadalmi-Gazdasági Programjában (2020-2026) szereplő intézkedés</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épület utólagos energetikai korszerűsítése, nyílászáróinak cseréje, ezzel a legfontosabb közösségi terünk fejlesztése valósul meg</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B65BC1">
            <w:pPr>
              <w:spacing w:line="256" w:lineRule="auto"/>
              <w:jc w:val="center"/>
              <w:rPr>
                <w:rFonts w:ascii="Times New Roman" w:hAnsi="Times New Roman"/>
                <w:sz w:val="20"/>
                <w:szCs w:val="20"/>
              </w:rPr>
            </w:pPr>
            <w:r>
              <w:rPr>
                <w:rFonts w:ascii="Times New Roman" w:hAnsi="Times New Roman"/>
                <w:sz w:val="20"/>
                <w:szCs w:val="20"/>
              </w:rPr>
              <w:t>2027</w:t>
            </w:r>
            <w:r w:rsidR="00795A46">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épületegyüttesben foglalkozásokon, programokon megjelent gyermekek száma</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Művelődési ház és Könyvtár épülete alacsonyabb költséggel üzemeltethetővé válik. </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9</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Forrás-tóhoz vezető külterületi út megközelíthetőségének javítása</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A Forrás-tóként ismert népszerű kirándulóhelyhez nem vezet burkolt út, a külterületi földút kátyús, poros</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Forrás-tó, mint osztálykirándulási célpont, táborhelyszín megközelíthetőségének javítása a Forrás-tóhoz vezető útburkolat kialakításával</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Társadalmi-Gazdasági Programjában (2020-2026) szereplő intézkedés</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Forrás-tó, mint osztálykirándulási célpont, táborhelyszín megközelíthetőségének javítása a Forrás-tóhoz vezető útburkolat kialakításával</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B65BC1">
            <w:pPr>
              <w:spacing w:line="256" w:lineRule="auto"/>
              <w:jc w:val="center"/>
              <w:rPr>
                <w:rFonts w:ascii="Times New Roman" w:hAnsi="Times New Roman"/>
                <w:sz w:val="20"/>
                <w:szCs w:val="20"/>
              </w:rPr>
            </w:pPr>
            <w:r>
              <w:rPr>
                <w:rFonts w:ascii="Times New Roman" w:hAnsi="Times New Roman"/>
                <w:sz w:val="20"/>
                <w:szCs w:val="20"/>
              </w:rPr>
              <w:t>2027</w:t>
            </w:r>
            <w:r w:rsidR="00795A46">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Forrás-tóhoz vezető korszerű útburkolaton közlekedők száma</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Forrás-tóhoz vezető korszerű útburkolaton közlekedők száma nő, még népszerűbb kirándulási céllá válik.</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10</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Tornacsarnok és a Kistornaterem korszerűsítése</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Az általános iskoláskorú gyermekek és a sportszakkörök lebonyolításának helyszíne a Csorvás, István király u. 21. szám alatti „Tormacsarnokként” ismert, valamint az Arany János u. 8. száma alatti „Kistornaterem” néven ismert épület. Mindkét épület korszerűsítésre és eszközfejlesztésre szorul.</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Tormacsarnok és a Kistornaterem teljes körű energetikai, közművesítettségi és szaktantermi eszközökkel való fejlesztése az oktatás színvonalának hatékony növelése érdekében.</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Társadalmi-Gazdasági Programjában (2020-2026) szereplő intézkedés</w:t>
            </w:r>
          </w:p>
        </w:tc>
        <w:tc>
          <w:tcPr>
            <w:tcW w:w="390" w:type="pct"/>
            <w:tcBorders>
              <w:top w:val="single" w:sz="6" w:space="0" w:color="B1B1B1"/>
              <w:left w:val="single" w:sz="6" w:space="0" w:color="B1B1B1"/>
              <w:bottom w:val="single" w:sz="6" w:space="0" w:color="B1B1B1"/>
              <w:right w:val="single" w:sz="6" w:space="0" w:color="B1B1B1"/>
            </w:tcBorders>
          </w:tcPr>
          <w:p w:rsidR="00795A46" w:rsidRDefault="00795A46">
            <w:pPr>
              <w:spacing w:line="256" w:lineRule="auto"/>
              <w:jc w:val="center"/>
              <w:rPr>
                <w:rFonts w:ascii="Times New Roman" w:hAnsi="Times New Roman"/>
                <w:sz w:val="20"/>
                <w:szCs w:val="20"/>
              </w:rPr>
            </w:pP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Tormacsarnok és a Kistornaterem teljes körű energetikai, közművesítettségi és szaktantermi eszközökkel való fejlesztése az oktatás színvonalának hatékony növelése érdekében.</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korszerűsített sportcélú helyiségeket látogató gyermekek száma</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Tormacsarnok és a Kistornaterem</w:t>
            </w:r>
          </w:p>
          <w:p w:rsidR="00795A46" w:rsidRDefault="00795A46">
            <w:pPr>
              <w:spacing w:line="256" w:lineRule="auto"/>
              <w:jc w:val="center"/>
              <w:rPr>
                <w:rFonts w:ascii="Times New Roman" w:hAnsi="Times New Roman"/>
                <w:sz w:val="20"/>
                <w:szCs w:val="20"/>
              </w:rPr>
            </w:pPr>
            <w:r>
              <w:rPr>
                <w:rFonts w:ascii="Times New Roman" w:hAnsi="Times New Roman"/>
                <w:sz w:val="20"/>
                <w:szCs w:val="20"/>
              </w:rPr>
              <w:t>épülete alacsonyabb költséggel üzemeltethetővé válik.</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Pr>
          <w:p w:rsidR="00795A46" w:rsidRDefault="00795A46">
            <w:pPr>
              <w:spacing w:line="256" w:lineRule="auto"/>
              <w:jc w:val="center"/>
              <w:rPr>
                <w:rFonts w:ascii="Times New Roman" w:hAnsi="Times New Roman"/>
                <w:b/>
                <w:sz w:val="24"/>
              </w:rPr>
            </w:pPr>
          </w:p>
        </w:tc>
        <w:tc>
          <w:tcPr>
            <w:tcW w:w="4305" w:type="pct"/>
            <w:gridSpan w:val="13"/>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b/>
                <w:sz w:val="24"/>
              </w:rPr>
            </w:pPr>
            <w:r>
              <w:rPr>
                <w:rFonts w:ascii="Times New Roman" w:hAnsi="Times New Roman"/>
                <w:b/>
                <w:sz w:val="24"/>
              </w:rPr>
              <w:t>III. A nők esélyegyenlősége</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rPr>
                <w:rFonts w:ascii="Times New Roman" w:hAnsi="Times New Roman"/>
                <w:b/>
                <w:sz w:val="24"/>
              </w:rPr>
            </w:pP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1</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Szülők tájékoztatása gyermekeik családi jogállása ügyében</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Egyes különélő szülők nem hivatalos úton egyeznek meg a gyermek elhelyezéséről</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Cél, hogy a különélő szülők tájékoztatva legyenek a rendezetlen családi jogállású gyermekeik ügyeiben</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rPr>
                <w:rFonts w:ascii="Times New Roman" w:hAnsi="Times New Roman"/>
                <w:sz w:val="20"/>
                <w:szCs w:val="20"/>
              </w:rPr>
            </w:pP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Tájékoztatás nyújtása a szülőknek arról, hogy milyen előnyökkel jár a hivatalos bírósági ítélet vagy gyámügyi jegyzőkönyv megléte.</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Tájékozottabb szülők, rendezett családi jogállású gyermekek </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speciális helyzetben lévő, egyedülállóvá vált szülők tájékoztatása hosszútávú feladat.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2</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családon belüli erőszak megakadályozása és kezelése</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A családon belüli erőszak, mint rejtett probléma</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családon belüli erőszak felszámolása a cél. </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rPr>
                <w:rFonts w:ascii="Times New Roman" w:hAnsi="Times New Roman"/>
                <w:sz w:val="20"/>
                <w:szCs w:val="20"/>
              </w:rPr>
            </w:pP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napToGrid w:val="0"/>
              <w:spacing w:line="256" w:lineRule="auto"/>
              <w:rPr>
                <w:rFonts w:ascii="Times New Roman" w:hAnsi="Times New Roman"/>
                <w:sz w:val="20"/>
                <w:szCs w:val="20"/>
              </w:rPr>
            </w:pPr>
            <w:r>
              <w:rPr>
                <w:rFonts w:ascii="Times New Roman" w:hAnsi="Times New Roman"/>
                <w:sz w:val="20"/>
                <w:szCs w:val="20"/>
              </w:rPr>
              <w:t>Tájékoztatás nyújtása a családban élőknek, aktív és hatékony jelzőrendszeri együttműködés fenntartása, a működés ösztönzése jó gyakorlatok átvételével.</w:t>
            </w:r>
          </w:p>
          <w:p w:rsidR="00795A46" w:rsidRDefault="00795A46">
            <w:pPr>
              <w:spacing w:line="256" w:lineRule="auto"/>
              <w:rPr>
                <w:rFonts w:ascii="Times New Roman" w:hAnsi="Times New Roman"/>
                <w:sz w:val="20"/>
                <w:szCs w:val="20"/>
              </w:rPr>
            </w:pPr>
            <w:r>
              <w:rPr>
                <w:rFonts w:ascii="Times New Roman" w:hAnsi="Times New Roman"/>
                <w:sz w:val="20"/>
                <w:szCs w:val="20"/>
              </w:rPr>
              <w:t>A gyermekeket ellátó intézmények munkatársainak képzések biztosítása annak érdekében, hogy a problémát időben felismerni és hatáskörükben kezelni legyenek képesek.</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B65BC1">
            <w:pPr>
              <w:spacing w:line="256" w:lineRule="auto"/>
              <w:jc w:val="center"/>
              <w:rPr>
                <w:rFonts w:ascii="Times New Roman" w:hAnsi="Times New Roman"/>
                <w:sz w:val="20"/>
                <w:szCs w:val="20"/>
              </w:rPr>
            </w:pPr>
            <w:r>
              <w:rPr>
                <w:rFonts w:ascii="Times New Roman" w:hAnsi="Times New Roman"/>
                <w:sz w:val="20"/>
                <w:szCs w:val="20"/>
              </w:rPr>
              <w:t>2027</w:t>
            </w:r>
            <w:r w:rsidR="00795A46">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családon belüli erőszak elszenvedőinek száma csökken vagy nulla.</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családon belüli erőszak felszámolása össztársadalmi érdek, az intézkedés fenntartása kötelező.</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3</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Szünidei gyermekfelügyeletet lebonyolító személyi állomány biztosítása</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napToGrid w:val="0"/>
              <w:spacing w:line="256" w:lineRule="auto"/>
              <w:rPr>
                <w:rFonts w:ascii="Times New Roman" w:hAnsi="Times New Roman"/>
                <w:sz w:val="20"/>
                <w:szCs w:val="20"/>
              </w:rPr>
            </w:pPr>
            <w:r>
              <w:rPr>
                <w:rFonts w:ascii="Times New Roman" w:hAnsi="Times New Roman"/>
                <w:sz w:val="20"/>
                <w:szCs w:val="20"/>
              </w:rPr>
              <w:t xml:space="preserve">Szünidőben a  nyári napközbeni gyermekfelügyelet biztosított, de kevés a lebonyolításban részt vevő szakképzett személy, akit honorálni szüükséges. a csellengés megakadályozása érdekében az önkormányzat </w:t>
            </w:r>
            <w:r>
              <w:rPr>
                <w:rFonts w:ascii="Times New Roman" w:hAnsi="Times New Roman"/>
                <w:color w:val="000000" w:themeColor="text1"/>
                <w:sz w:val="20"/>
                <w:szCs w:val="20"/>
              </w:rPr>
              <w:t>a szabadidő hasznos eltöltését biztosító programokat, gyermekfelügyeletet kínál.</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cél, hogy a szünidei gyermekfelügyeletet minőségi munkát végző, szakképzett személyi állomány korrekt díjazásért lássa el. </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114/2017. (IX.6.) számú határozatával elfogadott Szolgáltatástervezési Koncepciójában szereplő intézkedés</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Szükséges lenne a helyi civil szervezetek, a szociális ellátóknál működő partnerek, és a pedagógusok bevonására a napközbeni felügyelet biztosításához, hogy a dolgozó nők ne essenek ki a munkából a teljes nyári szünidő idejére, rosszabb esetben ne veszítsék el a munkájukat azzal, hogy a gyermekük a biztos óvodai nyári felügyeletre már nem számíthat, hiszen iskolás lett.</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B65BC1">
            <w:pPr>
              <w:spacing w:line="256" w:lineRule="auto"/>
              <w:jc w:val="center"/>
              <w:rPr>
                <w:rFonts w:ascii="Times New Roman" w:hAnsi="Times New Roman"/>
                <w:sz w:val="20"/>
                <w:szCs w:val="20"/>
              </w:rPr>
            </w:pPr>
            <w:r>
              <w:rPr>
                <w:rFonts w:ascii="Times New Roman" w:hAnsi="Times New Roman"/>
                <w:sz w:val="20"/>
                <w:szCs w:val="20"/>
              </w:rPr>
              <w:t>2027</w:t>
            </w:r>
            <w:r w:rsidR="00795A46">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szünidei gyermekfelügyeletet igénybe vevő gyermekek számának növekedése, a szakképzett feladatellátók számának növekedése</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szünidei gyermekfelügyeletet egy évtizede megszervezzük, a feladat a következő évtizedekben is önként vállalt kihívás elé állítja a települési önkormányzatot.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4</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Futópálya létesítése Csorváson</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 xml:space="preserve">A sportélet nem csak az iskolásoké, a futás a legnépszerűbb sportok egyike, azonban futópályával nem rendelkezünk. </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futópálya a helyi sportéletet színesíti és a szabadidő hasznos eltöltésének lehetőségét biztosítja. </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Társadalmi-Gazdasági Programjában (2020-2026) szereplő intézkedés</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futópálya létesítésére alkalmas belterületi, önkormányzati ingatlan a Kazinczy utcán található focipálya körüli terület, amely alkalmas a sportolói igények magasszintű kiszolgálására. Erre a területre szükséges állami vagy EU-s forrást találni a futópálya mielőbbi megvalósulásához.</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B65BC1">
            <w:pPr>
              <w:spacing w:line="256" w:lineRule="auto"/>
              <w:jc w:val="center"/>
              <w:rPr>
                <w:rFonts w:ascii="Times New Roman" w:hAnsi="Times New Roman"/>
                <w:sz w:val="20"/>
                <w:szCs w:val="20"/>
              </w:rPr>
            </w:pPr>
            <w:r>
              <w:rPr>
                <w:rFonts w:ascii="Times New Roman" w:hAnsi="Times New Roman"/>
                <w:sz w:val="20"/>
                <w:szCs w:val="20"/>
              </w:rPr>
              <w:t>2027</w:t>
            </w:r>
            <w:r w:rsidR="00795A46">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futópálya a gyermeknek, a szabadidő-szervező közösségeknek, az általános iskolának, a sportkluboknak és az összes sportbarátnak hasznos, az igénybe vevők számát kiemelkedően magasra várjuk.</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létrejött futópálya szakszerű üzemeltetés mellett hosszú távon fenntartható létesítmény.</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5</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napközi konyha modernizálása a szakképzett női munkaerő megtartása érdekében</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 xml:space="preserve">Az önkormányzati tulajdonú közétkeztető cég a szakképzett, lelkes női munkaerőre épül, ez szolgálja ki a szintén női munkaerőre épülő ESZI-t, az Óvodát, a bölcsődét és az iskolát is. A közétkeztetőnél elavult az eszközpark, egyre kevésbé alkalmas a modern igények kiszolgálására. </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Ha a közétkeztető cég munkakörülményein, infrastruktúráján javítunk, javul az általuk biztosított ellátás, az ételkészítés színvonala is, amely az összes többi közintézményünk ellátásának színvonalára is kihat.</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Társadalmi-Gazdasági Programjában (2020-2026) szereplő intézkedés</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települési önkormányzat külső források bevonásával elvégzi a Csorvás, István király u. 34. szám alatti napközi konyha épületének belső felújítását, átalakítását, bővítését, ezzel együtt gép- és technológiai, valamint utólagos energetikai korszerűsítését is.</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B65BC1">
            <w:pPr>
              <w:spacing w:line="256" w:lineRule="auto"/>
              <w:jc w:val="center"/>
              <w:rPr>
                <w:rFonts w:ascii="Times New Roman" w:hAnsi="Times New Roman"/>
                <w:sz w:val="20"/>
                <w:szCs w:val="20"/>
              </w:rPr>
            </w:pPr>
            <w:r>
              <w:rPr>
                <w:rFonts w:ascii="Times New Roman" w:hAnsi="Times New Roman"/>
                <w:sz w:val="20"/>
                <w:szCs w:val="20"/>
              </w:rPr>
              <w:t>2027</w:t>
            </w:r>
            <w:r w:rsidR="00795A46">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megtartott szakképzett női munkavállalók száma</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korszerűsített napközi konyha épülete és szolgáltatásai költséghatékonyabban szolgálják a települési intézményhálózat és a megrendelők igényeit.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6</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Játszóterek létesítése a településen</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 xml:space="preserve">A gyermekjátszótér a gyermekek szocializációjában nélkülözhetetlen szerepet játszik, szükséges és fontos kapcsolódási pont a szülők, az anyák számára. A településen egyetlen, a közösség számára nyitott, sajnos már nem biztonságos játszótér üzemel. </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Több biztonságos, szabványos elemekkel szerelt játszótér létesítésére van szükség a településen. </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Társadalmi-Gazdasági Programjában (2020-2026) szereplő intézkedés</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Pályázati források bevonásával szükséges megoldást találnunk arra, hogy a városban több közösségi játszótér épüljön.</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játszóteret igénybe vevő gyermekek számának növekedése</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 több pontján kialakított játszóterek a jelenlegi játszótértől messze élők számára is évtizedekig  kikapcsolódási lehetőséget nyújtanak.</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7</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Tormacsarnok felújítása</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 xml:space="preserve">A Tornacsarnok épülete és felszereltsége elavult, mérete nem felel meg a legnépszerűbb lés legsikeresebben űzött helyi sport, a kézilabda szakmai feltételeinek sem. </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Tornacsarnok kiszolgálja az általános iskolásokat, a sportklubokat és szakköröket, az egyéb önszerveződő közösségek sporttevékenységeit, és kiemelten a kézilabda sport számára nyújt szabványos környezetet.  </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Társadalmi-Gazdasági Programjában (2020-2026) szereplő intézkedés</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Tornacsarnok szabványos méretű kézilabda-csarnokként is funkcionáló felújítása, átalakítása, bővítése az egyik legfontosabb közösségi sportcélú fejlesztési elképzelésünk, mindenképpen külső források bevonásával kívánjuk megvalósítani.</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 sportolóinak megnövekedett száma, a Tornacsarnokban megvalósult foglalkozások számának növekedése</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Tormacsarnok </w:t>
            </w:r>
          </w:p>
          <w:p w:rsidR="00795A46" w:rsidRDefault="00795A46">
            <w:pPr>
              <w:spacing w:line="256" w:lineRule="auto"/>
              <w:jc w:val="center"/>
              <w:rPr>
                <w:rFonts w:ascii="Times New Roman" w:hAnsi="Times New Roman"/>
                <w:sz w:val="20"/>
                <w:szCs w:val="20"/>
              </w:rPr>
            </w:pPr>
            <w:r>
              <w:rPr>
                <w:rFonts w:ascii="Times New Roman" w:hAnsi="Times New Roman"/>
                <w:sz w:val="20"/>
                <w:szCs w:val="20"/>
              </w:rPr>
              <w:t>épülete alacsonyabb költséggel üzemeltethetővé válik, kapacitás-kihasználtsága radikálisan megnő.</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8</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önkormányzati tulajdonú bérlakások korszerűsítése</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napToGrid w:val="0"/>
              <w:spacing w:line="256" w:lineRule="auto"/>
              <w:jc w:val="center"/>
              <w:rPr>
                <w:rFonts w:ascii="Times New Roman" w:hAnsi="Times New Roman"/>
                <w:sz w:val="20"/>
                <w:szCs w:val="20"/>
              </w:rPr>
            </w:pPr>
            <w:r>
              <w:rPr>
                <w:rFonts w:ascii="Times New Roman" w:hAnsi="Times New Roman"/>
                <w:sz w:val="20"/>
                <w:szCs w:val="20"/>
              </w:rPr>
              <w:t>A települési önkormányzat tulajdonú lakóingatlanok felújítása rendkívül fontos a településen az egyes szakmákban tapasztalható szakemberhiány mérséklése céljából, azzal a szándékkal, hogy az itt bérlőként megjelenők később letelepedjenek és családot alapítsanak a városban.</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korszerűsített bérlakásokban alacsonyabb rezsi mellett élhetnek a hiányszakmákban dolgozók.</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tcPr>
          <w:p w:rsidR="00795A46" w:rsidRDefault="00795A46">
            <w:pPr>
              <w:spacing w:line="256" w:lineRule="auto"/>
              <w:jc w:val="center"/>
              <w:rPr>
                <w:rFonts w:ascii="Times New Roman" w:hAnsi="Times New Roman"/>
                <w:sz w:val="20"/>
                <w:szCs w:val="20"/>
              </w:rPr>
            </w:pP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23 db önkormányzati tulajdonú lakóingatlan fejlesztése, felújítása fontos annak érdekében, hogy a településre vonzzuk az egyes, a városban hiányszakmaként számon tartott képzettségű munkavállalókat, akik munkájukkal, családjukkal épülnek be a helyi közösségbe.</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bérlakások kapacitás-kihasználtsága állandón teljeskörű.</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modernizált lakóingatlanokba mindig találunk bérlőt, így bevételt termel az intézkedés.</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Pr>
          <w:p w:rsidR="00795A46" w:rsidRDefault="00795A46">
            <w:pPr>
              <w:spacing w:line="256" w:lineRule="auto"/>
              <w:jc w:val="center"/>
              <w:rPr>
                <w:rFonts w:ascii="Times New Roman" w:hAnsi="Times New Roman"/>
                <w:b/>
                <w:sz w:val="24"/>
              </w:rPr>
            </w:pPr>
          </w:p>
        </w:tc>
        <w:tc>
          <w:tcPr>
            <w:tcW w:w="4305" w:type="pct"/>
            <w:gridSpan w:val="13"/>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b/>
                <w:sz w:val="24"/>
              </w:rPr>
            </w:pPr>
            <w:r>
              <w:rPr>
                <w:rFonts w:ascii="Times New Roman" w:hAnsi="Times New Roman"/>
                <w:b/>
                <w:sz w:val="24"/>
              </w:rPr>
              <w:t>IV. Az idősek esélyegyenlősége</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rPr>
                <w:rFonts w:ascii="Times New Roman" w:hAnsi="Times New Roman"/>
                <w:b/>
                <w:sz w:val="24"/>
              </w:rPr>
            </w:pP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1</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idősek informatikai jártasságának növelése</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color w:val="000000" w:themeColor="text1"/>
                <w:sz w:val="20"/>
                <w:szCs w:val="20"/>
              </w:rPr>
              <w:t>Az idősek informatikai jártasságának hiánya tapasztalható, ami a gyors, online ügyintézést hátráltatja.</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idősek informatikai jártasságának növelése, okoseszköz-használat népszerűsítése</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rPr>
                <w:rFonts w:ascii="Times New Roman" w:hAnsi="Times New Roman"/>
                <w:sz w:val="20"/>
                <w:szCs w:val="20"/>
              </w:rPr>
            </w:pP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themeColor="text1"/>
                <w:sz w:val="20"/>
                <w:szCs w:val="20"/>
              </w:rPr>
              <w:t>A technika fejlődésével fel kell kelteni az idősebb korosztály érdeklődését az informatikai eszközök mindennapi alkalmazásának hasznossága iránt, képzést és tájékoztatást kell nyújtani a településen elérhető szolgáltatókról (pl. könyvtár) és szolgáltatásokról (pl. free wifi pontok a településen, gyors ügyfélkapu regisztráció a könyvtárban).</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B65BC1">
            <w:pPr>
              <w:spacing w:line="256" w:lineRule="auto"/>
              <w:jc w:val="center"/>
              <w:rPr>
                <w:rFonts w:ascii="Times New Roman" w:hAnsi="Times New Roman"/>
                <w:sz w:val="20"/>
                <w:szCs w:val="20"/>
              </w:rPr>
            </w:pPr>
            <w:r>
              <w:rPr>
                <w:rFonts w:ascii="Times New Roman" w:hAnsi="Times New Roman"/>
                <w:sz w:val="20"/>
                <w:szCs w:val="20"/>
              </w:rPr>
              <w:t>2027</w:t>
            </w:r>
            <w:r w:rsidR="00795A46">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informatikai eszközöket aktívan használó időskorúak száma</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 önképzést segítő szakképzett személyek</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okoseszközöket aktívan használó idősek számát növelni kell, és támogatni kell fejlődésüket.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2</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jelzőrendszeres segítségnyújtás személyi- és eszközállományának bővítése</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color w:val="000000" w:themeColor="text1"/>
                <w:sz w:val="20"/>
                <w:szCs w:val="20"/>
              </w:rPr>
              <w:t>Az idősek leginkább egyedül, egyszemélyes háztartásban élnek, ez elmagányosodáshoz vezethet, ugyanakkor egészségük romlik. Az egyedüllét és az infokommunikációs lehetőségeik korlátozottsága miatt problémáikat nem tudják időben jelezni, így azok megoldása késik vagy elmarad.</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jelzőrendszeres segítségnyújtást igénybe vevő személyek szükség esetén történő megsegítése gyorsabb és hatékonyabb, mint az eszközt nem használó személyek esetében.</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114/2017. (IX.6.) számú határozatával elfogadott Szolgáltatástervezési Koncepciójában szereplő intézkedés</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themeColor="text1"/>
                <w:sz w:val="20"/>
                <w:szCs w:val="20"/>
              </w:rPr>
              <w:t>A településen jelzőrendszeres segítségnyújtást működtetünk, amelynek kapacitása azonban csekély az idősek számához képest. Ennek kapacitását bővíteni szükséges az eszközállomány és a személyi állomány növelésével.</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jelzőrendszeres segítségnyújtást igénybe vevő személyek száma nő, a megsegítésük gyorsabb és hatékonyabb.</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themeColor="text1"/>
                <w:sz w:val="20"/>
                <w:szCs w:val="20"/>
              </w:rPr>
              <w:t xml:space="preserve">A településen működtetett jelzőrendszeres segítségnyújtás a legolcsóbb és leghatékonyabb módja a megsegítésnek úgy, hogy a legkisebb terhet jelenti az igénybe vevőnek és a szolgáltatónak is, ezért fenntartása indokolt. </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jelzőrendszeres házi segítségnyújtás feladatait a csorvási igénybe vevők tekintetében is az Orosházi Kistérség Többcélú Társulásának keretében szervezzük meg.</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3</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idősek nappali ellátásának fejlesztése</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color w:val="000000" w:themeColor="text1"/>
                <w:sz w:val="20"/>
                <w:szCs w:val="20"/>
              </w:rPr>
              <w:t>Az egyszemélyes háztartásokban élő, elmagányosodott idős nők száma kiugróan magas, a kapcsolatrendszerük, korosztályukkal való kommunikációs lehetőségük csökken vagy hiányzik.</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nappali ellátást befogadó épület infrastruktúra-fejlesztése, </w:t>
            </w:r>
            <w:r>
              <w:rPr>
                <w:rFonts w:ascii="Times New Roman" w:hAnsi="Times New Roman"/>
                <w:color w:val="000000" w:themeColor="text1"/>
                <w:sz w:val="20"/>
                <w:szCs w:val="20"/>
              </w:rPr>
              <w:t>az idősek érdeklődési körének megfelelő közösségi programok szervezése, a nappali ellátás helyszínére történő szállításuk megszervezése a cél.</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114/2017. (IX.6.) számú határozatával elfogadott Szolgáltatástervezési Koncepciójában szereplő intézkedés</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A településen az idősek nappali ellátása megszervezett, de ennek a növekvő igényekhez alkalmazkodó kapacitásbővítése szükséges. Az idősek érdeklődési körének megfelelő közösségi programok szervezése, a nappali ellátás helyszínére történő szállításuk megszervezése szükséges. A nappali ellátás személyi és eszközállományának az igényekhez alkalmazkodó növelése indokolt.</w:t>
            </w:r>
          </w:p>
          <w:p w:rsidR="00795A46" w:rsidRDefault="00795A46">
            <w:pPr>
              <w:snapToGrid w:val="0"/>
              <w:spacing w:line="256" w:lineRule="auto"/>
              <w:rPr>
                <w:rFonts w:ascii="Times New Roman" w:hAnsi="Times New Roman"/>
                <w:color w:val="000000" w:themeColor="text1"/>
                <w:sz w:val="20"/>
                <w:szCs w:val="20"/>
              </w:rPr>
            </w:pPr>
            <w:r>
              <w:rPr>
                <w:rFonts w:ascii="Times New Roman" w:hAnsi="Times New Roman"/>
                <w:color w:val="000000" w:themeColor="text1"/>
                <w:sz w:val="20"/>
                <w:szCs w:val="20"/>
              </w:rPr>
              <w:t xml:space="preserve">Az idősek személyes felkeresése, számukra tájékoztatás nyújtása szükséges, a szolgáltatás előnyeit papíralapon kell összefoglalni számukra a digitális ismereteik hiánya miatt. </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w:t>
            </w:r>
            <w:r w:rsidR="00B65BC1">
              <w:rPr>
                <w:rFonts w:ascii="Times New Roman" w:hAnsi="Times New Roman"/>
                <w:sz w:val="20"/>
                <w:szCs w:val="20"/>
              </w:rPr>
              <w:t>7</w:t>
            </w:r>
            <w:r>
              <w:rPr>
                <w:rFonts w:ascii="Times New Roman" w:hAnsi="Times New Roman"/>
                <w:sz w:val="20"/>
                <w:szCs w:val="20"/>
              </w:rPr>
              <w:t>8.12.31.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nappali ellátást igénybe vevő idősek számának növekedése</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településen élő idős korosztály tagjainak száma magas, ez indokolja az intézkedés hosszútávú fenntartását.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4</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idősek tájékoztatása különböző jogosultságaikról</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color w:val="000000" w:themeColor="text1"/>
                <w:sz w:val="20"/>
                <w:szCs w:val="20"/>
              </w:rPr>
              <w:t>Kevesen vannak tisztában a szociális téren igénybe vehető támogatásokkal. Többen nincsenek tisztában az özvegyi nyugdíj és a haláleseti rendelkezés fogalmával, lehetőségével.</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Cél az idősek tájékozottságának növelése</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114/2017. (IX.6.) számú határozatával elfogadott Szolgáltatástervezési Koncepciójában szereplő intézkedés</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themeColor="text1"/>
                <w:sz w:val="20"/>
                <w:szCs w:val="20"/>
              </w:rPr>
              <w:t>Az időseket speciális módon kell tájékoztatnunk az igénybe vehető szociális ellátásokról: kiemelt szerepet kap a kézben fogható, papír alapú nyomtatvány és a személyes tájékoztatás.</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jogaikkal tisztában lévő és jogosultságaikkal élő idősek számának növekedése</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településen élő idős korosztály tagjainak száma magas, ez indokolja az intézkedés hosszútávú fenntartását.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5</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idősek egészségi állapotának javítása</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napToGrid w:val="0"/>
              <w:spacing w:line="256" w:lineRule="auto"/>
              <w:rPr>
                <w:rFonts w:ascii="Times New Roman" w:hAnsi="Times New Roman"/>
                <w:color w:val="000000" w:themeColor="text1"/>
                <w:sz w:val="20"/>
                <w:szCs w:val="20"/>
              </w:rPr>
            </w:pPr>
            <w:r>
              <w:rPr>
                <w:rFonts w:ascii="Times New Roman" w:hAnsi="Times New Roman"/>
                <w:color w:val="000000" w:themeColor="text1"/>
                <w:sz w:val="20"/>
                <w:szCs w:val="20"/>
              </w:rPr>
              <w:t>Az idősek egészségügyi állapota általánosan rosszabb, mint a fiatalabb korosztályoké.</w:t>
            </w:r>
          </w:p>
          <w:p w:rsidR="00795A46" w:rsidRDefault="00795A46">
            <w:pPr>
              <w:spacing w:line="256" w:lineRule="auto"/>
              <w:rPr>
                <w:rFonts w:ascii="Times New Roman" w:hAnsi="Times New Roman"/>
                <w:sz w:val="20"/>
                <w:szCs w:val="20"/>
              </w:rPr>
            </w:pPr>
            <w:r>
              <w:rPr>
                <w:rFonts w:ascii="Times New Roman" w:hAnsi="Times New Roman"/>
                <w:color w:val="000000" w:themeColor="text1"/>
                <w:sz w:val="20"/>
                <w:szCs w:val="20"/>
              </w:rPr>
              <w:t>A prevenció, valamint a szakellátások igénybevételéhez való hozzásegítésük szükséges.</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Cél, hogy az idősek egészségi állapota javuljon az ismeretszerzés és az ösztönzők által.</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114/2017. (IX.6.) számú határozatával elfogadott Szolgáltatástervezési Koncepciójában szereplő intézkedés</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napToGrid w:val="0"/>
              <w:spacing w:line="256" w:lineRule="auto"/>
              <w:rPr>
                <w:rFonts w:ascii="Times New Roman" w:hAnsi="Times New Roman"/>
                <w:color w:val="000000" w:themeColor="text1"/>
                <w:sz w:val="20"/>
                <w:szCs w:val="20"/>
              </w:rPr>
            </w:pPr>
            <w:r>
              <w:rPr>
                <w:rFonts w:ascii="Times New Roman" w:hAnsi="Times New Roman"/>
                <w:color w:val="000000" w:themeColor="text1"/>
                <w:sz w:val="20"/>
                <w:szCs w:val="20"/>
              </w:rPr>
              <w:t>Tájékoztatás nyújtása az egészségi állapotuk megőrzéséről, javításáról – a digitális hozzáférésük hiányában – papíralapon: plakátokon, nyomtatott sajtótermékekben, szórólapokon.</w:t>
            </w:r>
          </w:p>
          <w:p w:rsidR="00795A46" w:rsidRDefault="00795A46">
            <w:pPr>
              <w:spacing w:line="256" w:lineRule="auto"/>
              <w:rPr>
                <w:rFonts w:ascii="Times New Roman" w:hAnsi="Times New Roman"/>
                <w:sz w:val="20"/>
                <w:szCs w:val="20"/>
              </w:rPr>
            </w:pPr>
            <w:r>
              <w:rPr>
                <w:rFonts w:ascii="Times New Roman" w:hAnsi="Times New Roman"/>
                <w:color w:val="000000" w:themeColor="text1"/>
                <w:sz w:val="20"/>
                <w:szCs w:val="20"/>
              </w:rPr>
              <w:t>A helyben is biztosítható, de a környező városokban megszervezett szakellátás-szolgáltatók (pl. tüdőszűrés, nőgyógyászati szűrés, ortopédia, pszichiátria) helyben történő elérésének biztosítása: ehhez a helyszín és az eszközállomány szállításának megszervezése, lebonyolítása.</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egészségtudatosabb idősek számának növekedése, a szolgáltatásokat igénybe vevő idősek számának emelkedése</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településen élő idős korosztály tagjainak száma magas, ez indokolja az intézkedés hosszútávú fenntartását.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6</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termelői piac újraindításaa város piacterén</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color w:val="000000" w:themeColor="text1"/>
                <w:sz w:val="20"/>
                <w:szCs w:val="20"/>
              </w:rPr>
              <w:t>A településen – bár van működési engedéllyel rendelkező piacterünk – nincs működő termelői piac. Ennek a főként az idősek által elfogadott és igényelt hagyománynak az újjáélesztésééhez szükséges a városlakók és a környékbeli termelők tájékoztatása.</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termelői piac népszerű találkozási pontja a helyben megtermelt áruk adás-vételének</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Társadalmi-Gazdasági Programjában (2020-2026) szereplő intézkedés</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themeColor="text1"/>
                <w:sz w:val="20"/>
                <w:szCs w:val="20"/>
              </w:rPr>
              <w:t>Szükséges a termelői piac működésének „reklámozása” az idősek és kistermelők felé, mert egykor ők népesítették be házias termékeikkel, és szeretnénk, hogy újra az idősebb generáció gazdálkodói vehessék birtokba.</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B65BC1" w:rsidP="00B65BC1">
            <w:pPr>
              <w:spacing w:line="256" w:lineRule="auto"/>
              <w:jc w:val="center"/>
              <w:rPr>
                <w:rFonts w:ascii="Times New Roman" w:hAnsi="Times New Roman"/>
                <w:sz w:val="20"/>
                <w:szCs w:val="20"/>
              </w:rPr>
            </w:pPr>
            <w:r>
              <w:rPr>
                <w:rFonts w:ascii="Times New Roman" w:hAnsi="Times New Roman"/>
                <w:sz w:val="20"/>
                <w:szCs w:val="20"/>
              </w:rPr>
              <w:t>2027</w:t>
            </w:r>
            <w:r w:rsidR="00795A46">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termelői piacot látogatók száma, az ott árusító helyi termelők száma nő</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Az egykor népszerű helyi termelői piac újraindítása a lakossági igényeknek megfelelően indokolt és fenntartható intézkedés. </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7</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idősek tájékoztatása a hulladékszelektálásról és a kéményseprésről</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color w:val="000000" w:themeColor="text1"/>
                <w:sz w:val="20"/>
                <w:szCs w:val="20"/>
              </w:rPr>
              <w:t>Az idősek nem eléggé érdeklőnek a szelektív hulladékgyűjtés, a hulladékhasznosítás és a korszerű hulladékgazdálkodás iránt. Többen inkább minden vegyes kommunális hulladékukat eltüzelik otthonukban, mert „megszokták”. Tüzelőberendezéseik ugyanakkor inkább elavultak, így a veszélyes szénmonoxid-terhelés, és a füst által okozott környezetterhelés is nagyobb a fűtési időszakban.</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idősek tájékozottságának növelése, a környezetterhelés csökkentése és az életveszélyes helyzetek kialakulásának megelőzése</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tcPr>
          <w:p w:rsidR="00795A46" w:rsidRDefault="00795A46">
            <w:pPr>
              <w:spacing w:line="256" w:lineRule="auto"/>
              <w:jc w:val="center"/>
              <w:rPr>
                <w:rFonts w:ascii="Times New Roman" w:hAnsi="Times New Roman"/>
                <w:sz w:val="20"/>
                <w:szCs w:val="20"/>
              </w:rPr>
            </w:pP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napToGrid w:val="0"/>
              <w:spacing w:line="256" w:lineRule="auto"/>
              <w:rPr>
                <w:rFonts w:ascii="Times New Roman" w:hAnsi="Times New Roman"/>
                <w:color w:val="000000" w:themeColor="text1"/>
                <w:sz w:val="20"/>
                <w:szCs w:val="20"/>
              </w:rPr>
            </w:pPr>
            <w:r>
              <w:rPr>
                <w:rFonts w:ascii="Times New Roman" w:hAnsi="Times New Roman"/>
                <w:color w:val="000000" w:themeColor="text1"/>
                <w:sz w:val="20"/>
                <w:szCs w:val="20"/>
              </w:rPr>
              <w:t>A település lakosságának, kiemelten az időseknek szükséges a szelektív szemétgyűjtés témájában tájékoztatást nyújtani kézbe fogható módon: kitűzhető szórólapokon, plakátokon, újságban.</w:t>
            </w:r>
          </w:p>
          <w:p w:rsidR="00795A46" w:rsidRDefault="00795A46">
            <w:pPr>
              <w:spacing w:line="256" w:lineRule="auto"/>
              <w:jc w:val="center"/>
              <w:rPr>
                <w:rFonts w:ascii="Times New Roman" w:hAnsi="Times New Roman"/>
                <w:sz w:val="20"/>
                <w:szCs w:val="20"/>
              </w:rPr>
            </w:pPr>
            <w:r>
              <w:rPr>
                <w:rFonts w:ascii="Times New Roman" w:hAnsi="Times New Roman"/>
                <w:color w:val="000000" w:themeColor="text1"/>
                <w:sz w:val="20"/>
                <w:szCs w:val="20"/>
              </w:rPr>
              <w:t>A kéményseprés ingyenes és ajánlott közszolgáltatásnak népszerűsítését és a környezetterhelés csökkentéséről szóló ajánlást is meg kell oldanunk az idősek számára készített kiadványokon.</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tájékozott, a hulladékot szelektáló és tüzelőberendezésüket megfelelően üzemeltető idősek számának növekedése </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településen élő idős korosztály tagjainak száma magas, ez indokolja az intézkedés hosszútávú fenntartását.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8</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Helytörténeti Gyűjtemény épületének korszerűsítése</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color w:val="000000" w:themeColor="text1"/>
                <w:sz w:val="20"/>
                <w:szCs w:val="20"/>
              </w:rPr>
              <w:t>A település idősebb korosztálya fogékony inkább a hagyományokra, a helytörténetre, a muzeális értékek gyűjtésére és bemutatására. Így jött létre az a helytörténeti gyűjtemény, amelynek látogatói között is nagyobb számban találjuk az időseket. Azonban az ezt befogadó épület elavult infrastruktúrájú.</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Helytörténeti Gyűjtemény épületének komplex energetikai és biztonságtechnikai korszerűsítése</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Társadalmi-Gazdasági Programjában (2020-2026) szereplő intézkedés</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themeColor="text1"/>
                <w:sz w:val="20"/>
                <w:szCs w:val="20"/>
              </w:rPr>
              <w:t>A Csorvás, Arany János u. 10. szám alatti Helytörténeti Gyűjtemény megóvásához az épület tetőszerkezetének felújítása, a nyílászárók korszerűsítése, az épület fizikai akadálymentesítése, a világítás és a fűtésrendszer korszerűsítése, valamint az ingatlan vagyonvédelmének kialakítása szükséges, annak érdekében, hogy újra befogadhassa a főleg idősekből álló népdalköröket, korosztályos közösségeket.</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intézmény látogatottsága, kapacitás-kihasználtsága nő.</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 helytörténeti kincseit befogadó épület energiahatékonyabban szolgálja a látogatókat, értékmegőrzése fontos társadalmi érdekünk, fenntartása megkérdőjelezhetetlen.</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Pr>
          <w:p w:rsidR="00795A46" w:rsidRDefault="00795A46">
            <w:pPr>
              <w:spacing w:line="256" w:lineRule="auto"/>
              <w:jc w:val="center"/>
              <w:rPr>
                <w:rFonts w:ascii="Times New Roman" w:hAnsi="Times New Roman"/>
                <w:b/>
                <w:sz w:val="24"/>
              </w:rPr>
            </w:pPr>
          </w:p>
        </w:tc>
        <w:tc>
          <w:tcPr>
            <w:tcW w:w="4305" w:type="pct"/>
            <w:gridSpan w:val="13"/>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b/>
                <w:sz w:val="24"/>
              </w:rPr>
            </w:pPr>
            <w:r>
              <w:rPr>
                <w:rFonts w:ascii="Times New Roman" w:hAnsi="Times New Roman"/>
                <w:b/>
                <w:sz w:val="24"/>
              </w:rPr>
              <w:t>V. A fogyatékossággal élő személyek esélyegyenlősége</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rPr>
                <w:rFonts w:ascii="Times New Roman" w:hAnsi="Times New Roman"/>
                <w:b/>
                <w:sz w:val="24"/>
              </w:rPr>
            </w:pP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1</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Fizikai akadálymentesítés a település kereskedelmi, szolgáltatási egységeiben és a fogyatékossággal élőket befogadó foglalkoztató épületben</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color w:val="000000" w:themeColor="text1"/>
                <w:sz w:val="20"/>
                <w:szCs w:val="20"/>
              </w:rPr>
              <w:t>A helyi foglalkoztató épülete nem felel meg a fizikai akadálymentesítés követelményeinek. A legtöbb üzlet és szolgáltató intézmény fizikailag nem akadálymentes.</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településen működő kereskedelmi és szolgáltatási egységek fizikai akadálymentesítése a cél, kiemelten a foglalkoztató épülete.</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114/2017. (IX.6.) számú határozatával elfogadott Szolgáltatástervezési Koncepciójában szereplő intézkedés</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településen működő kereskedelmi és szolgáltatási egységek fizikai akadálymentesítése</w:t>
            </w:r>
            <w:r>
              <w:rPr>
                <w:rFonts w:ascii="Times New Roman" w:hAnsi="Times New Roman"/>
                <w:color w:val="000000" w:themeColor="text1"/>
                <w:sz w:val="20"/>
                <w:szCs w:val="20"/>
              </w:rPr>
              <w:t>, valamint korszerűsíteni kell a fogyatékossággal élő személyek munkavállalását biztosító épületet.</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akadálymentes üzletek és szolgáltatási helyszínek száma nő, a foglalkoztató épülete akadálymentessé válik.</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 szakértők</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településen élő fogyatékossággal élők jelenlegi nehéz közlekedése miatt az intézkedés fenntarthatósága nem kérdés, hanem elvárás. </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2</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fogyatékossággal élő személyek foglalkoztatottságának növelése</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color w:val="000000" w:themeColor="text1"/>
                <w:sz w:val="20"/>
                <w:szCs w:val="20"/>
              </w:rPr>
              <w:t>A fogyatékossággal élő foglalkoztatottak száma alacsony</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fogyatékossággal élő személyek Csorváson történő foglalkoztatottságának növelése a cél.</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Társadalmi-Gazdasági Programjában (2020-2026) szereplő intézkedés</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themeColor="text1"/>
                <w:sz w:val="20"/>
                <w:szCs w:val="20"/>
              </w:rPr>
              <w:t>A foglalkoztatók létszámát növelni kell, erre forrásteremtés pályázat útján, vagy egyéb támogatásból</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településen foglalkoztatott fogyatékossággal élő személyek száma növekszik.</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településen fogyatékossággal élő személyek száma indokolja az intézkedés fenntartását.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3</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Tájékoztatás nyújtása a szociális ellátásokról</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color w:val="000000" w:themeColor="text1"/>
                <w:sz w:val="20"/>
                <w:szCs w:val="20"/>
              </w:rPr>
              <w:t>Kevesen vannak tisztában a szociális téren vagy állapotuk miatt igénybe vehető támogatásokról</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fogyatékossággal élő személyek tájékozottsága nő, életminőségük javul.</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Csorvás Város Önkormányzatának 114/2017. (IX.6.) számú határozatával elfogadott Szolgáltatástervezési Koncepciójában szereplő intézkedés</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themeColor="text1"/>
                <w:sz w:val="20"/>
                <w:szCs w:val="20"/>
              </w:rPr>
              <w:t>Tájékoztatás nyújtása a szociális ellátások igénybevételének lehetőségéről.</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Tájékozottabb településen élő személyek</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intézkedés a tájékozottságot növeli, ami az életminőség tartós javulásához járulhat hozzá.</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bl>
    <w:p w:rsidR="00795A46" w:rsidRDefault="00795A46" w:rsidP="00795A46">
      <w:pPr>
        <w:rPr>
          <w:rFonts w:ascii="Times New Roman" w:hAnsi="Times New Roman"/>
          <w:sz w:val="20"/>
          <w:szCs w:val="20"/>
        </w:rPr>
      </w:pPr>
    </w:p>
    <w:bookmarkEnd w:id="141"/>
    <w:p w:rsidR="00795A46" w:rsidRDefault="00795A46" w:rsidP="00795A46">
      <w:pPr>
        <w:widowControl w:val="0"/>
        <w:autoSpaceDE w:val="0"/>
        <w:rPr>
          <w:rFonts w:ascii="Times New Roman" w:hAnsi="Times New Roman"/>
          <w:sz w:val="20"/>
          <w:szCs w:val="20"/>
        </w:rPr>
      </w:pPr>
    </w:p>
    <w:p w:rsidR="00795A46" w:rsidRDefault="00795A46" w:rsidP="00795A46">
      <w:pPr>
        <w:suppressAutoHyphens w:val="0"/>
        <w:jc w:val="left"/>
        <w:rPr>
          <w:rFonts w:ascii="Times New Roman" w:hAnsi="Times New Roman"/>
        </w:rPr>
        <w:sectPr w:rsidR="00795A46">
          <w:pgSz w:w="16838" w:h="11906" w:orient="landscape"/>
          <w:pgMar w:top="1134" w:right="851" w:bottom="1134" w:left="851" w:header="720" w:footer="708" w:gutter="0"/>
          <w:cols w:space="708"/>
        </w:sectPr>
      </w:pPr>
    </w:p>
    <w:p w:rsidR="00795A46" w:rsidRDefault="00795A46" w:rsidP="00795A46">
      <w:pPr>
        <w:pStyle w:val="Cmsor3"/>
        <w:rPr>
          <w:rFonts w:ascii="Times New Roman" w:hAnsi="Times New Roman"/>
          <w:szCs w:val="24"/>
        </w:rPr>
      </w:pPr>
      <w:bookmarkStart w:id="142" w:name="__RefHeading__281_1906745769"/>
      <w:bookmarkStart w:id="143" w:name="_Toc49500668"/>
      <w:bookmarkStart w:id="144" w:name="_Toc119566847"/>
      <w:bookmarkEnd w:id="142"/>
      <w:r>
        <w:rPr>
          <w:rFonts w:ascii="Times New Roman" w:hAnsi="Times New Roman"/>
          <w:szCs w:val="24"/>
        </w:rPr>
        <w:t>3. Megvalósítás</w:t>
      </w:r>
      <w:bookmarkEnd w:id="143"/>
      <w:bookmarkEnd w:id="144"/>
    </w:p>
    <w:p w:rsidR="00795A46" w:rsidRDefault="00795A46" w:rsidP="00795A46">
      <w:pPr>
        <w:rPr>
          <w:rFonts w:ascii="Times New Roman" w:hAnsi="Times New Roman"/>
          <w:sz w:val="24"/>
        </w:rPr>
      </w:pPr>
    </w:p>
    <w:p w:rsidR="00795A46" w:rsidRDefault="00795A46" w:rsidP="00795A46">
      <w:pPr>
        <w:pStyle w:val="Cmsor4"/>
        <w:pBdr>
          <w:top w:val="none" w:sz="0" w:space="0" w:color="auto"/>
          <w:left w:val="none" w:sz="0" w:space="0" w:color="auto"/>
          <w:bottom w:val="none" w:sz="0" w:space="0" w:color="auto"/>
          <w:right w:val="none" w:sz="0" w:space="0" w:color="auto"/>
        </w:pBdr>
        <w:rPr>
          <w:rFonts w:ascii="Times New Roman" w:hAnsi="Times New Roman"/>
          <w:b/>
        </w:rPr>
      </w:pPr>
      <w:bookmarkStart w:id="145" w:name="__RefHeading__283_1906745769"/>
      <w:bookmarkStart w:id="146" w:name="_Toc49500669"/>
      <w:bookmarkEnd w:id="145"/>
      <w:r>
        <w:rPr>
          <w:rFonts w:ascii="Times New Roman" w:hAnsi="Times New Roman"/>
          <w:b/>
        </w:rPr>
        <w:t>3.1. A megvalósítás előkészítése</w:t>
      </w:r>
      <w:bookmarkEnd w:id="146"/>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Önkormányzatunk az általa fenntartott intézmények vezetői számára feladatul adja és ellenőrzi, a településen működő nem önkormányzati fenntartású intézmények vezetőit pedig partneri viszony során kéri, hogy a Helyi Esélyegyenlőségi Programot valósítsák meg, illetve támogassák. </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Önkormányzatunk azt is kéri intézményeitől és partnereitől, hogy vizsgálják meg, és a program elfogadását követően biztosítsák, hogy az intézményük működését érintő, és az esélyegyenlőség szempontjából fontos egyéb közszolgáltatásokat meghatározó stratégiai dokumentumokba és iránymutatásokba épüljenek be és érvényesüljenek az egyenlő bánásmódra és esélyegyenlőségre vonatkozó azon kötelezettségek, melyek az önkormányzat Helyi Esélyegyenlőségi Programjában részletes leírásra kerültek. </w:t>
      </w:r>
    </w:p>
    <w:p w:rsidR="00795A46" w:rsidRDefault="00795A46" w:rsidP="00795A46">
      <w:pPr>
        <w:rPr>
          <w:rFonts w:ascii="Times New Roman" w:hAnsi="Times New Roman"/>
          <w:bCs/>
          <w:iCs/>
          <w:sz w:val="24"/>
        </w:rPr>
      </w:pPr>
    </w:p>
    <w:p w:rsidR="00795A46" w:rsidRDefault="00795A46" w:rsidP="00795A46">
      <w:pPr>
        <w:rPr>
          <w:rFonts w:ascii="Times New Roman" w:hAnsi="Times New Roman"/>
          <w:sz w:val="24"/>
        </w:rPr>
      </w:pPr>
      <w:r>
        <w:rPr>
          <w:rFonts w:ascii="Times New Roman" w:hAnsi="Times New Roman"/>
          <w:sz w:val="24"/>
        </w:rPr>
        <w:t xml:space="preserve">Önkormányzatunk elvárja, hogy intézményei a Helyi Esélyegyenlőségi Program Intézkedési Tervében szereplő vállalásokról, az őket érintő konkrét feladatokról intézményi szintű akcióterveket és évente cselekvési ütemterveket készítsenek. </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Önkormányzatunk a HEP kidolgozására és megvalósítására, továbbá értékelésére, ellenőrzésére és az ennek során nyert információk visszacsatolására, valamint a programba történő beépítésének garantálására Helyi Esélyegyenlőségi Programért Felelős Fórumot hoz létre és működtet. </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A fentiekkel kívánjuk biztosítani, hogy az HEP IT-ben vállalt feladatok településünkön maradéktalanul megvalósuljanak.</w:t>
      </w:r>
    </w:p>
    <w:p w:rsidR="00795A46" w:rsidRDefault="00795A46" w:rsidP="00795A46">
      <w:pPr>
        <w:rPr>
          <w:rFonts w:ascii="Times New Roman" w:hAnsi="Times New Roman"/>
          <w:sz w:val="24"/>
        </w:rPr>
      </w:pPr>
    </w:p>
    <w:p w:rsidR="00795A46" w:rsidRDefault="00795A46" w:rsidP="00795A46">
      <w:pPr>
        <w:pStyle w:val="Cmsor4"/>
        <w:pBdr>
          <w:top w:val="none" w:sz="0" w:space="0" w:color="auto"/>
          <w:left w:val="none" w:sz="0" w:space="0" w:color="auto"/>
          <w:bottom w:val="none" w:sz="0" w:space="0" w:color="auto"/>
          <w:right w:val="none" w:sz="0" w:space="0" w:color="auto"/>
        </w:pBdr>
        <w:rPr>
          <w:rFonts w:ascii="Times New Roman" w:hAnsi="Times New Roman"/>
          <w:b/>
        </w:rPr>
      </w:pPr>
      <w:bookmarkStart w:id="147" w:name="__RefHeading__285_1906745769"/>
      <w:bookmarkStart w:id="148" w:name="_Toc49500670"/>
      <w:bookmarkEnd w:id="147"/>
      <w:r>
        <w:rPr>
          <w:rFonts w:ascii="Times New Roman" w:hAnsi="Times New Roman"/>
          <w:b/>
        </w:rPr>
        <w:t>3.2. A megvalósítás folyamata</w:t>
      </w:r>
      <w:bookmarkEnd w:id="148"/>
    </w:p>
    <w:p w:rsidR="00795A46" w:rsidRDefault="00795A46" w:rsidP="00795A46">
      <w:pPr>
        <w:pStyle w:val="Nincstrkz"/>
        <w:jc w:val="both"/>
        <w:rPr>
          <w:rFonts w:ascii="Times New Roman" w:hAnsi="Times New Roman"/>
          <w:sz w:val="24"/>
          <w:szCs w:val="24"/>
        </w:rPr>
      </w:pPr>
    </w:p>
    <w:p w:rsidR="00795A46" w:rsidRDefault="00795A46" w:rsidP="00795A46">
      <w:pPr>
        <w:pStyle w:val="Nincstrkz"/>
        <w:jc w:val="both"/>
        <w:rPr>
          <w:rFonts w:ascii="Times New Roman" w:hAnsi="Times New Roman"/>
          <w:sz w:val="24"/>
        </w:rPr>
      </w:pPr>
      <w:r>
        <w:rPr>
          <w:rFonts w:ascii="Times New Roman" w:hAnsi="Times New Roman"/>
          <w:sz w:val="24"/>
        </w:rPr>
        <w:t xml:space="preserve">A társadalmi partnerség és együttműködés egyik eszköze a HEP Fórumok szervezése lehet. </w:t>
      </w:r>
    </w:p>
    <w:p w:rsidR="00795A46" w:rsidRDefault="00795A46" w:rsidP="00795A46">
      <w:pPr>
        <w:pStyle w:val="Nincstrkz"/>
        <w:jc w:val="both"/>
        <w:rPr>
          <w:rFonts w:ascii="Times New Roman" w:hAnsi="Times New Roman"/>
          <w:sz w:val="24"/>
        </w:rPr>
      </w:pPr>
      <w:r>
        <w:rPr>
          <w:rFonts w:ascii="Times New Roman" w:hAnsi="Times New Roman"/>
          <w:sz w:val="24"/>
        </w:rPr>
        <w:t>HEP Fórumok segítségével a helyi állami, önkormányzati, egyházi és civil szervezetek között a hatékonyabb együttműködés alakulhat ki. a célcsoportok esélyegyenlőségi problémáinak a beazonosításában, a problémákra adekvátan válaszoló intézkedések megfogalmazásában, összehangolásában, valamint a HEP intézkedéseinek megvalósításában, megkönnyítve így az önkormányzatok esélyteremtő feladatainak ellátását.</w:t>
      </w:r>
    </w:p>
    <w:p w:rsidR="00795A46" w:rsidRDefault="00795A46" w:rsidP="00795A46">
      <w:pPr>
        <w:pStyle w:val="Nincstrkz"/>
        <w:jc w:val="both"/>
        <w:rPr>
          <w:rFonts w:ascii="Times New Roman" w:hAnsi="Times New Roman"/>
          <w:sz w:val="24"/>
        </w:rPr>
      </w:pPr>
    </w:p>
    <w:p w:rsidR="00795A46" w:rsidRDefault="00795A46" w:rsidP="00795A46">
      <w:pPr>
        <w:pStyle w:val="Nincstrkz"/>
        <w:jc w:val="both"/>
        <w:rPr>
          <w:rFonts w:ascii="Times New Roman" w:hAnsi="Times New Roman"/>
          <w:b/>
          <w:sz w:val="24"/>
        </w:rPr>
      </w:pPr>
      <w:r>
        <w:rPr>
          <w:rFonts w:ascii="Times New Roman" w:hAnsi="Times New Roman"/>
          <w:b/>
          <w:sz w:val="24"/>
        </w:rPr>
        <w:t>A HEP Fórum feladatai:</w:t>
      </w:r>
    </w:p>
    <w:p w:rsidR="00795A46" w:rsidRDefault="00795A46" w:rsidP="00795A46">
      <w:pPr>
        <w:pStyle w:val="Nincstrkz"/>
        <w:jc w:val="both"/>
        <w:rPr>
          <w:rFonts w:ascii="Times New Roman" w:hAnsi="Times New Roman"/>
          <w:sz w:val="24"/>
        </w:rPr>
      </w:pPr>
      <w:r>
        <w:rPr>
          <w:rFonts w:ascii="Times New Roman" w:hAnsi="Times New Roman"/>
          <w:sz w:val="24"/>
        </w:rPr>
        <w:t xml:space="preserve">- a célcsoportok esélyegyenlőségi problémáinak a beazonosítása, a problémákra adekvátan válaszoló intézkedések megfogalmazása, összehangolása, </w:t>
      </w:r>
    </w:p>
    <w:p w:rsidR="00795A46" w:rsidRDefault="00795A46" w:rsidP="00795A46">
      <w:pPr>
        <w:pStyle w:val="Nincstrkz"/>
        <w:jc w:val="both"/>
        <w:rPr>
          <w:rFonts w:ascii="Times New Roman" w:hAnsi="Times New Roman"/>
          <w:sz w:val="24"/>
        </w:rPr>
      </w:pPr>
      <w:r>
        <w:rPr>
          <w:rFonts w:ascii="Times New Roman" w:hAnsi="Times New Roman"/>
          <w:sz w:val="24"/>
        </w:rPr>
        <w:t>- a HEP intézkedéseinek megvalósításában, a HEP IT megvalósulásának figyelemmel kísérése, a HEP IT-ben lefektetett célok megvalósulásához szükséges beavatkozások évenkénti felülvizsgálata,</w:t>
      </w:r>
    </w:p>
    <w:p w:rsidR="00795A46" w:rsidRDefault="00795A46" w:rsidP="00795A46">
      <w:pPr>
        <w:pStyle w:val="Nincstrkz"/>
        <w:jc w:val="both"/>
        <w:rPr>
          <w:rFonts w:ascii="Times New Roman" w:hAnsi="Times New Roman"/>
          <w:sz w:val="24"/>
        </w:rPr>
      </w:pPr>
      <w:r>
        <w:rPr>
          <w:rFonts w:ascii="Times New Roman" w:hAnsi="Times New Roman"/>
          <w:sz w:val="24"/>
        </w:rPr>
        <w:t>- annak figyelemmel kísérése, hogy a megelőző időszakban végrehajtott intézkedések elősegítették-e a kitűzött célok megvalósulását, és az ezen tapasztalatok alapján esetleges új beavatkozások meghatározása</w:t>
      </w:r>
    </w:p>
    <w:p w:rsidR="00795A46" w:rsidRDefault="00795A46" w:rsidP="00795A46">
      <w:pPr>
        <w:pStyle w:val="Nincstrkz"/>
        <w:jc w:val="both"/>
        <w:rPr>
          <w:rFonts w:ascii="Times New Roman" w:hAnsi="Times New Roman"/>
          <w:sz w:val="24"/>
        </w:rPr>
      </w:pPr>
      <w:r>
        <w:rPr>
          <w:rFonts w:ascii="Times New Roman" w:hAnsi="Times New Roman"/>
          <w:sz w:val="24"/>
        </w:rPr>
        <w:t>- a HEP IT aktualizálása, az esetleges változások beépítése a HEP IT-be, a módosított HEP IT előkészítése képviselő-testületi döntésre</w:t>
      </w:r>
    </w:p>
    <w:p w:rsidR="00795A46" w:rsidRDefault="00795A46" w:rsidP="00795A46">
      <w:pPr>
        <w:pStyle w:val="Nincstrkz"/>
        <w:jc w:val="both"/>
        <w:rPr>
          <w:rFonts w:ascii="Times New Roman" w:hAnsi="Times New Roman"/>
          <w:sz w:val="24"/>
        </w:rPr>
      </w:pPr>
      <w:r>
        <w:rPr>
          <w:rFonts w:ascii="Times New Roman" w:hAnsi="Times New Roman"/>
          <w:sz w:val="24"/>
        </w:rPr>
        <w:t>- az esélyegyenlőséggel összefüggő problémák megvitatása</w:t>
      </w:r>
    </w:p>
    <w:p w:rsidR="00795A46" w:rsidRDefault="00795A46" w:rsidP="00795A46">
      <w:pPr>
        <w:pStyle w:val="Nincstrkz"/>
        <w:jc w:val="both"/>
        <w:rPr>
          <w:rFonts w:ascii="Times New Roman" w:hAnsi="Times New Roman"/>
          <w:sz w:val="24"/>
        </w:rPr>
      </w:pPr>
      <w:r>
        <w:rPr>
          <w:rFonts w:ascii="Times New Roman" w:hAnsi="Times New Roman"/>
          <w:sz w:val="24"/>
        </w:rPr>
        <w:t>- a HEP IT és az elért eredmények nyilvánosság elé tárása, dokumentálása, kommunikálása</w:t>
      </w:r>
    </w:p>
    <w:p w:rsidR="00795A46" w:rsidRDefault="00795A46" w:rsidP="00795A46">
      <w:pPr>
        <w:pStyle w:val="Nincstrkz"/>
        <w:jc w:val="both"/>
        <w:rPr>
          <w:rFonts w:ascii="Times New Roman" w:hAnsi="Times New Roman"/>
          <w:sz w:val="24"/>
        </w:rPr>
      </w:pPr>
    </w:p>
    <w:p w:rsidR="00795A46" w:rsidRDefault="00795A46" w:rsidP="00795A46">
      <w:pPr>
        <w:pStyle w:val="Nincstrkz"/>
        <w:jc w:val="both"/>
        <w:rPr>
          <w:rFonts w:ascii="Times New Roman" w:hAnsi="Times New Roman"/>
          <w:sz w:val="24"/>
        </w:rPr>
      </w:pPr>
      <w:r>
        <w:rPr>
          <w:rFonts w:ascii="Times New Roman" w:hAnsi="Times New Roman"/>
          <w:sz w:val="24"/>
        </w:rPr>
        <w:t xml:space="preserve">Az esélyegyenlőség fókuszban lévő célcsoportjaihoz és/vagy kiemelt problématerületekre a terület aktorainak részvételével tematikus munkacsoportokat alakíthatunk 2 ezer fő feletti településeken (opcionális) az adott területen kitűzött célok megvalósítása érdekében. A munkacsoportok vezetői egyben tagjai az Esélyegyenlőségi Fórumnak is, a munkacsoportok rendszeresen (minimum évente) beszámolnak munkájukról az Esélyegyenlőségi Fórum számára. </w:t>
      </w:r>
    </w:p>
    <w:p w:rsidR="00795A46" w:rsidRDefault="00795A46" w:rsidP="00795A46">
      <w:pPr>
        <w:pStyle w:val="Nincstrkz"/>
        <w:jc w:val="both"/>
        <w:rPr>
          <w:rFonts w:ascii="Times New Roman" w:hAnsi="Times New Roman"/>
          <w:sz w:val="24"/>
          <w:szCs w:val="24"/>
        </w:rPr>
      </w:pPr>
    </w:p>
    <w:p w:rsidR="00795A46" w:rsidRDefault="00795A46" w:rsidP="00795A46">
      <w:pPr>
        <w:pStyle w:val="Nincstrkz"/>
        <w:jc w:val="both"/>
        <w:rPr>
          <w:rFonts w:ascii="Times New Roman" w:hAnsi="Times New Roman"/>
        </w:rPr>
      </w:pPr>
    </w:p>
    <w:p w:rsidR="00795A46" w:rsidRDefault="00795A46" w:rsidP="00795A46">
      <w:pPr>
        <w:pStyle w:val="Nincstrkz"/>
        <w:jc w:val="both"/>
        <w:rPr>
          <w:rFonts w:ascii="Times New Roman" w:hAnsi="Times New Roman"/>
          <w:color w:val="000000"/>
          <w:sz w:val="20"/>
          <w:szCs w:val="20"/>
        </w:rPr>
      </w:pPr>
      <w:r>
        <w:rPr>
          <w:noProof/>
          <w:lang w:eastAsia="hu-HU"/>
        </w:rPr>
        <mc:AlternateContent>
          <mc:Choice Requires="wpg">
            <w:drawing>
              <wp:inline distT="0" distB="0" distL="0" distR="0">
                <wp:extent cx="5710555" cy="5429885"/>
                <wp:effectExtent l="0" t="9525" r="4445" b="0"/>
                <wp:docPr id="55" name="Csoportba foglalás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0555" cy="5429885"/>
                          <a:chOff x="0" y="0"/>
                          <a:chExt cx="8992" cy="8550"/>
                        </a:xfrm>
                      </wpg:grpSpPr>
                      <wps:wsp>
                        <wps:cNvPr id="56" name="Rectangle 9"/>
                        <wps:cNvSpPr>
                          <a:spLocks noChangeArrowheads="1"/>
                        </wps:cNvSpPr>
                        <wps:spPr bwMode="auto">
                          <a:xfrm>
                            <a:off x="0" y="0"/>
                            <a:ext cx="8992" cy="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57" name="_s1038"/>
                        <wps:cNvCnPr>
                          <a:cxnSpLocks noChangeShapeType="1"/>
                        </wps:cNvCnPr>
                        <wps:spPr bwMode="auto">
                          <a:xfrm flipH="1" flipV="1">
                            <a:off x="2357" y="3614"/>
                            <a:ext cx="1063" cy="323"/>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8" name="_s1037"/>
                        <wps:cNvSpPr>
                          <a:spLocks noChangeArrowheads="1"/>
                        </wps:cNvSpPr>
                        <wps:spPr bwMode="auto">
                          <a:xfrm>
                            <a:off x="165" y="2218"/>
                            <a:ext cx="2242" cy="2130"/>
                          </a:xfrm>
                          <a:prstGeom prst="ellipse">
                            <a:avLst/>
                          </a:prstGeom>
                          <a:solidFill>
                            <a:srgbClr val="BBE0E3"/>
                          </a:solidFill>
                          <a:ln w="9360">
                            <a:solidFill>
                              <a:srgbClr val="000000"/>
                            </a:solidFill>
                            <a:miter lim="800000"/>
                            <a:headEnd/>
                            <a:tailEnd/>
                          </a:ln>
                        </wps:spPr>
                        <wps:txbx>
                          <w:txbxContent>
                            <w:p w:rsidR="00795A46" w:rsidRDefault="00795A46" w:rsidP="00795A46">
                              <w:pPr>
                                <w:jc w:val="center"/>
                              </w:pPr>
                              <w:r>
                                <w:t>Fogyatékkal élők esély-egyenlőségével foglalkozó munkacsoport</w:t>
                              </w:r>
                            </w:p>
                          </w:txbxContent>
                        </wps:txbx>
                        <wps:bodyPr rot="0" vert="horz" wrap="square" lIns="0" tIns="0" rIns="0" bIns="0" anchor="ctr" anchorCtr="0" upright="1">
                          <a:noAutofit/>
                        </wps:bodyPr>
                      </wps:wsp>
                      <wps:wsp>
                        <wps:cNvPr id="59" name="_s1036"/>
                        <wps:cNvCnPr>
                          <a:cxnSpLocks noChangeShapeType="1"/>
                        </wps:cNvCnPr>
                        <wps:spPr bwMode="auto">
                          <a:xfrm flipH="1">
                            <a:off x="3173" y="5142"/>
                            <a:ext cx="654" cy="85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0" name="_s1035"/>
                        <wps:cNvSpPr>
                          <a:spLocks noChangeArrowheads="1"/>
                        </wps:cNvSpPr>
                        <wps:spPr bwMode="auto">
                          <a:xfrm>
                            <a:off x="1391" y="5802"/>
                            <a:ext cx="2242" cy="2130"/>
                          </a:xfrm>
                          <a:prstGeom prst="ellipse">
                            <a:avLst/>
                          </a:prstGeom>
                          <a:solidFill>
                            <a:srgbClr val="BBE0E3"/>
                          </a:solidFill>
                          <a:ln w="9360">
                            <a:solidFill>
                              <a:srgbClr val="000000"/>
                            </a:solidFill>
                            <a:miter lim="800000"/>
                            <a:headEnd/>
                            <a:tailEnd/>
                          </a:ln>
                        </wps:spPr>
                        <wps:txbx>
                          <w:txbxContent>
                            <w:p w:rsidR="00795A46" w:rsidRDefault="00795A46" w:rsidP="00795A46">
                              <w:pPr>
                                <w:jc w:val="center"/>
                              </w:pPr>
                              <w:r>
                                <w:t>Nők esély-egyenlőségével foglalkozó munkacsoport</w:t>
                              </w:r>
                            </w:p>
                          </w:txbxContent>
                        </wps:txbx>
                        <wps:bodyPr rot="0" vert="horz" wrap="square" lIns="0" tIns="0" rIns="0" bIns="0" anchor="ctr" anchorCtr="0" upright="1">
                          <a:noAutofit/>
                        </wps:bodyPr>
                      </wps:wsp>
                      <wps:wsp>
                        <wps:cNvPr id="61" name="_s1034"/>
                        <wps:cNvCnPr>
                          <a:cxnSpLocks noChangeShapeType="1"/>
                        </wps:cNvCnPr>
                        <wps:spPr bwMode="auto">
                          <a:xfrm>
                            <a:off x="5161" y="5142"/>
                            <a:ext cx="654" cy="85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2" name="_s1033"/>
                        <wps:cNvSpPr>
                          <a:spLocks noChangeArrowheads="1"/>
                        </wps:cNvSpPr>
                        <wps:spPr bwMode="auto">
                          <a:xfrm>
                            <a:off x="5358" y="5802"/>
                            <a:ext cx="2242" cy="2130"/>
                          </a:xfrm>
                          <a:prstGeom prst="ellipse">
                            <a:avLst/>
                          </a:prstGeom>
                          <a:solidFill>
                            <a:srgbClr val="BBE0E3"/>
                          </a:solidFill>
                          <a:ln w="9360">
                            <a:solidFill>
                              <a:srgbClr val="000000"/>
                            </a:solidFill>
                            <a:miter lim="800000"/>
                            <a:headEnd/>
                            <a:tailEnd/>
                          </a:ln>
                        </wps:spPr>
                        <wps:txbx>
                          <w:txbxContent>
                            <w:p w:rsidR="00795A46" w:rsidRDefault="00795A46" w:rsidP="00795A46">
                              <w:pPr>
                                <w:jc w:val="center"/>
                              </w:pPr>
                              <w:r>
                                <w:t>Gyerekek esély-egyenlőségével foglalkozó munkacsoport</w:t>
                              </w:r>
                            </w:p>
                          </w:txbxContent>
                        </wps:txbx>
                        <wps:bodyPr rot="0" vert="horz" wrap="square" lIns="0" tIns="0" rIns="0" bIns="0" anchor="ctr" anchorCtr="0" upright="1">
                          <a:noAutofit/>
                        </wps:bodyPr>
                      </wps:wsp>
                      <wps:wsp>
                        <wps:cNvPr id="63" name="_s1032"/>
                        <wps:cNvCnPr>
                          <a:cxnSpLocks noChangeShapeType="1"/>
                        </wps:cNvCnPr>
                        <wps:spPr bwMode="auto">
                          <a:xfrm flipV="1">
                            <a:off x="5569" y="3614"/>
                            <a:ext cx="1063" cy="323"/>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4" name="_s1031"/>
                        <wps:cNvSpPr>
                          <a:spLocks noChangeArrowheads="1"/>
                        </wps:cNvSpPr>
                        <wps:spPr bwMode="auto">
                          <a:xfrm>
                            <a:off x="6584" y="2218"/>
                            <a:ext cx="2242" cy="2130"/>
                          </a:xfrm>
                          <a:prstGeom prst="ellipse">
                            <a:avLst/>
                          </a:prstGeom>
                          <a:solidFill>
                            <a:srgbClr val="BBE0E3"/>
                          </a:solidFill>
                          <a:ln w="9360">
                            <a:solidFill>
                              <a:srgbClr val="000000"/>
                            </a:solidFill>
                            <a:miter lim="800000"/>
                            <a:headEnd/>
                            <a:tailEnd/>
                          </a:ln>
                        </wps:spPr>
                        <wps:txbx>
                          <w:txbxContent>
                            <w:p w:rsidR="00795A46" w:rsidRDefault="00795A46" w:rsidP="00795A46">
                              <w:pPr>
                                <w:jc w:val="center"/>
                              </w:pPr>
                              <w:r>
                                <w:t>Idősek esély-egyenlőségével foglalkozó munkacsoport</w:t>
                              </w:r>
                            </w:p>
                          </w:txbxContent>
                        </wps:txbx>
                        <wps:bodyPr rot="0" vert="horz" wrap="square" lIns="0" tIns="0" rIns="0" bIns="0" anchor="ctr" anchorCtr="0" upright="1">
                          <a:noAutofit/>
                        </wps:bodyPr>
                      </wps:wsp>
                      <wps:wsp>
                        <wps:cNvPr id="65" name="_s1030"/>
                        <wps:cNvCnPr>
                          <a:cxnSpLocks noChangeShapeType="1"/>
                        </wps:cNvCnPr>
                        <wps:spPr bwMode="auto">
                          <a:xfrm flipV="1">
                            <a:off x="4499" y="2138"/>
                            <a:ext cx="0" cy="1061"/>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6" name="_s1029"/>
                        <wps:cNvSpPr>
                          <a:spLocks noChangeArrowheads="1"/>
                        </wps:cNvSpPr>
                        <wps:spPr bwMode="auto">
                          <a:xfrm>
                            <a:off x="3374" y="4"/>
                            <a:ext cx="2242" cy="2130"/>
                          </a:xfrm>
                          <a:prstGeom prst="ellipse">
                            <a:avLst/>
                          </a:prstGeom>
                          <a:solidFill>
                            <a:srgbClr val="BBE0E3"/>
                          </a:solidFill>
                          <a:ln w="9360">
                            <a:solidFill>
                              <a:srgbClr val="000000"/>
                            </a:solidFill>
                            <a:miter lim="800000"/>
                            <a:headEnd/>
                            <a:tailEnd/>
                          </a:ln>
                        </wps:spPr>
                        <wps:txbx>
                          <w:txbxContent>
                            <w:p w:rsidR="00795A46" w:rsidRDefault="00795A46" w:rsidP="00795A46">
                              <w:pPr>
                                <w:jc w:val="center"/>
                                <w:rPr>
                                  <w:sz w:val="18"/>
                                  <w:szCs w:val="18"/>
                                </w:rPr>
                              </w:pPr>
                              <w:r>
                                <w:rPr>
                                  <w:sz w:val="18"/>
                                  <w:szCs w:val="18"/>
                                </w:rPr>
                                <w:t>Romák/ mély-szegénységben élők esély-egyenlőségével foglalkozó munkacsoport</w:t>
                              </w:r>
                            </w:p>
                          </w:txbxContent>
                        </wps:txbx>
                        <wps:bodyPr rot="0" vert="horz" wrap="square" lIns="0" tIns="0" rIns="0" bIns="0" anchor="ctr" anchorCtr="0" upright="1">
                          <a:noAutofit/>
                        </wps:bodyPr>
                      </wps:wsp>
                      <wps:wsp>
                        <wps:cNvPr id="67" name="_s1028"/>
                        <wps:cNvSpPr>
                          <a:spLocks noChangeArrowheads="1"/>
                        </wps:cNvSpPr>
                        <wps:spPr bwMode="auto">
                          <a:xfrm>
                            <a:off x="3374" y="3210"/>
                            <a:ext cx="2242" cy="2130"/>
                          </a:xfrm>
                          <a:prstGeom prst="ellipse">
                            <a:avLst/>
                          </a:prstGeom>
                          <a:solidFill>
                            <a:srgbClr val="00FF00"/>
                          </a:solidFill>
                          <a:ln w="9360">
                            <a:solidFill>
                              <a:srgbClr val="000000"/>
                            </a:solidFill>
                            <a:miter lim="800000"/>
                            <a:headEnd/>
                            <a:tailEnd/>
                          </a:ln>
                        </wps:spPr>
                        <wps:txbx>
                          <w:txbxContent>
                            <w:p w:rsidR="00795A46" w:rsidRDefault="00795A46" w:rsidP="00795A46">
                              <w:pPr>
                                <w:jc w:val="center"/>
                                <w:rPr>
                                  <w:b/>
                                  <w:sz w:val="24"/>
                                </w:rPr>
                              </w:pPr>
                              <w:r>
                                <w:rPr>
                                  <w:b/>
                                  <w:sz w:val="24"/>
                                </w:rPr>
                                <w:t xml:space="preserve">HEP Fórum </w:t>
                              </w:r>
                            </w:p>
                            <w:p w:rsidR="00795A46" w:rsidRDefault="00795A46" w:rsidP="00795A46">
                              <w:pPr>
                                <w:jc w:val="center"/>
                                <w:rPr>
                                  <w:b/>
                                  <w:sz w:val="16"/>
                                  <w:szCs w:val="16"/>
                                </w:rPr>
                              </w:pPr>
                              <w:r>
                                <w:rPr>
                                  <w:b/>
                                  <w:sz w:val="16"/>
                                  <w:szCs w:val="16"/>
                                </w:rPr>
                                <w:t xml:space="preserve">tagjai: </w:t>
                              </w:r>
                            </w:p>
                            <w:p w:rsidR="00795A46" w:rsidRDefault="00795A46" w:rsidP="00795A46">
                              <w:pPr>
                                <w:jc w:val="center"/>
                                <w:rPr>
                                  <w:sz w:val="16"/>
                                  <w:szCs w:val="16"/>
                                </w:rPr>
                              </w:pPr>
                              <w:r>
                                <w:rPr>
                                  <w:sz w:val="16"/>
                                  <w:szCs w:val="16"/>
                                </w:rPr>
                                <w:t>munkacsoportok vezetői, önkormányzat, képviselője, partnerek képviselője</w:t>
                              </w:r>
                            </w:p>
                          </w:txbxContent>
                        </wps:txbx>
                        <wps:bodyPr rot="0" vert="horz" wrap="square" lIns="0" tIns="0" rIns="0" bIns="0" anchor="ctr" anchorCtr="0" upright="1">
                          <a:noAutofit/>
                        </wps:bodyPr>
                      </wps:wsp>
                    </wpg:wgp>
                  </a:graphicData>
                </a:graphic>
              </wp:inline>
            </w:drawing>
          </mc:Choice>
          <mc:Fallback>
            <w:pict>
              <v:group id="Csoportba foglalás 55" o:spid="_x0000_s1026" style="width:449.65pt;height:427.55pt;mso-position-horizontal-relative:char;mso-position-vertical-relative:line" coordsize="8992,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">
                <v:rect id="Rectangle 9" o:spid="_x0000_s1027" style="position:absolute;width:8992;height:85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" filled="f" stroked="f">
                  <v:stroke joinstyle="round"/>
                </v:rect>
                <v:line id="_s1038" o:spid="_x0000_s1028" style="position:absolute;flip:x y;visibility:visible;mso-wrap-style:square" from="2357,3614" to="3420,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" strokeweight=".79mm">
                  <v:stroke joinstyle="miter"/>
                </v:line>
                <v:oval id="_s1037" o:spid="_x0000_s1029" style="position:absolute;left:165;top:2218;width:2242;height:2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" fillcolor="#bbe0e3" strokeweight=".26mm">
                  <v:stroke joinstyle="miter"/>
                  <v:textbox inset="0,0,0,0">
                    <w:txbxContent>
                      <w:p w:rsidR="00795A46" w:rsidRDefault="00795A46" w:rsidP="00795A46">
                        <w:pPr>
                          <w:jc w:val="center"/>
                        </w:pPr>
                        <w:r>
                          <w:t>Fogyatékkal élők esély-egyenlőségével foglalkozó munkacsoport</w:t>
                        </w:r>
                      </w:p>
                    </w:txbxContent>
                  </v:textbox>
                </v:oval>
                <v:line id="_s1036" o:spid="_x0000_s1030" style="position:absolute;flip:x;visibility:visible;mso-wrap-style:square" from="3173,5142" to="3827,5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" strokeweight=".79mm">
                  <v:stroke joinstyle="miter"/>
                </v:line>
                <v:oval id="_s1035" o:spid="_x0000_s1031" style="position:absolute;left:1391;top:5802;width:2242;height:2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" fillcolor="#bbe0e3" strokeweight=".26mm">
                  <v:stroke joinstyle="miter"/>
                  <v:textbox inset="0,0,0,0">
                    <w:txbxContent>
                      <w:p w:rsidR="00795A46" w:rsidRDefault="00795A46" w:rsidP="00795A46">
                        <w:pPr>
                          <w:jc w:val="center"/>
                        </w:pPr>
                        <w:r>
                          <w:t>Nők esély-egyenlőségével foglalkozó munkacsoport</w:t>
                        </w:r>
                      </w:p>
                    </w:txbxContent>
                  </v:textbox>
                </v:oval>
                <v:line id="_s1034" o:spid="_x0000_s1032" style="position:absolute;visibility:visible;mso-wrap-style:square" from="5161,5142" to="5815,5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" strokeweight=".79mm">
                  <v:stroke joinstyle="miter"/>
                </v:line>
                <v:oval id="_s1033" o:spid="_x0000_s1033" style="position:absolute;left:5358;top:5802;width:2242;height:2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" fillcolor="#bbe0e3" strokeweight=".26mm">
                  <v:stroke joinstyle="miter"/>
                  <v:textbox inset="0,0,0,0">
                    <w:txbxContent>
                      <w:p w:rsidR="00795A46" w:rsidRDefault="00795A46" w:rsidP="00795A46">
                        <w:pPr>
                          <w:jc w:val="center"/>
                        </w:pPr>
                        <w:r>
                          <w:t>Gyerekek esély-egyenlőségével foglalkozó munkacsoport</w:t>
                        </w:r>
                      </w:p>
                    </w:txbxContent>
                  </v:textbox>
                </v:oval>
                <v:line id="_s1032" o:spid="_x0000_s1034" style="position:absolute;flip:y;visibility:visible;mso-wrap-style:square" from="5569,3614" to="6632,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" strokeweight=".79mm">
                  <v:stroke joinstyle="miter"/>
                </v:line>
                <v:oval id="_s1031" o:spid="_x0000_s1035" style="position:absolute;left:6584;top:2218;width:2242;height:2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" fillcolor="#bbe0e3" strokeweight=".26mm">
                  <v:stroke joinstyle="miter"/>
                  <v:textbox inset="0,0,0,0">
                    <w:txbxContent>
                      <w:p w:rsidR="00795A46" w:rsidRDefault="00795A46" w:rsidP="00795A46">
                        <w:pPr>
                          <w:jc w:val="center"/>
                        </w:pPr>
                        <w:r>
                          <w:t>Idősek esély-egyenlőségével foglalkozó munkacsoport</w:t>
                        </w:r>
                      </w:p>
                    </w:txbxContent>
                  </v:textbox>
                </v:oval>
                <v:line id="_s1030" o:spid="_x0000_s1036" style="position:absolute;flip:y;visibility:visible;mso-wrap-style:square" from="4499,2138" to="4499,3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" strokeweight=".79mm">
                  <v:stroke joinstyle="miter"/>
                </v:line>
                <v:oval id="_s1029" o:spid="_x0000_s1037" style="position:absolute;left:3374;top:4;width:2242;height:2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" fillcolor="#bbe0e3" strokeweight=".26mm">
                  <v:stroke joinstyle="miter"/>
                  <v:textbox inset="0,0,0,0">
                    <w:txbxContent>
                      <w:p w:rsidR="00795A46" w:rsidRDefault="00795A46" w:rsidP="00795A46">
                        <w:pPr>
                          <w:jc w:val="center"/>
                          <w:rPr>
                            <w:sz w:val="18"/>
                            <w:szCs w:val="18"/>
                          </w:rPr>
                        </w:pPr>
                        <w:r>
                          <w:rPr>
                            <w:sz w:val="18"/>
                            <w:szCs w:val="18"/>
                          </w:rPr>
                          <w:t>Romák/ mély-szegénységben élők esély-egyenlőségével foglalkozó munkacsoport</w:t>
                        </w:r>
                      </w:p>
                    </w:txbxContent>
                  </v:textbox>
                </v:oval>
                <v:oval id="_s1028" o:spid="_x0000_s1038" style="position:absolute;left:3374;top:3210;width:2242;height:2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" fillcolor="lime" strokeweight=".26mm">
                  <v:stroke joinstyle="miter"/>
                  <v:textbox inset="0,0,0,0">
                    <w:txbxContent>
                      <w:p w:rsidR="00795A46" w:rsidRDefault="00795A46" w:rsidP="00795A46">
                        <w:pPr>
                          <w:jc w:val="center"/>
                          <w:rPr>
                            <w:b/>
                            <w:sz w:val="24"/>
                          </w:rPr>
                        </w:pPr>
                        <w:r>
                          <w:rPr>
                            <w:b/>
                            <w:sz w:val="24"/>
                          </w:rPr>
                          <w:t xml:space="preserve">HEP Fórum </w:t>
                        </w:r>
                      </w:p>
                      <w:p w:rsidR="00795A46" w:rsidRDefault="00795A46" w:rsidP="00795A46">
                        <w:pPr>
                          <w:jc w:val="center"/>
                          <w:rPr>
                            <w:b/>
                            <w:sz w:val="16"/>
                            <w:szCs w:val="16"/>
                          </w:rPr>
                        </w:pPr>
                        <w:r>
                          <w:rPr>
                            <w:b/>
                            <w:sz w:val="16"/>
                            <w:szCs w:val="16"/>
                          </w:rPr>
                          <w:t xml:space="preserve">tagjai: </w:t>
                        </w:r>
                      </w:p>
                      <w:p w:rsidR="00795A46" w:rsidRDefault="00795A46" w:rsidP="00795A46">
                        <w:pPr>
                          <w:jc w:val="center"/>
                          <w:rPr>
                            <w:sz w:val="16"/>
                            <w:szCs w:val="16"/>
                          </w:rPr>
                        </w:pPr>
                        <w:r>
                          <w:rPr>
                            <w:sz w:val="16"/>
                            <w:szCs w:val="16"/>
                          </w:rPr>
                          <w:t>munkacsoportok vezetői, önkormányzat, képviselője, partnerek képviselője</w:t>
                        </w:r>
                      </w:p>
                    </w:txbxContent>
                  </v:textbox>
                </v:oval>
                <w10:anchorlock/>
              </v:group>
            </w:pict>
          </mc:Fallback>
        </mc:AlternateContent>
      </w:r>
    </w:p>
    <w:p w:rsidR="00795A46" w:rsidRDefault="00795A46" w:rsidP="00795A46">
      <w:pPr>
        <w:pStyle w:val="Nincstrkz"/>
        <w:rPr>
          <w:rFonts w:ascii="Times New Roman" w:hAnsi="Times New Roman"/>
          <w:b/>
          <w:color w:val="000000"/>
          <w:sz w:val="24"/>
        </w:rPr>
      </w:pPr>
      <w:r>
        <w:rPr>
          <w:rFonts w:ascii="Times New Roman" w:hAnsi="Times New Roman"/>
          <w:b/>
          <w:color w:val="000000"/>
          <w:sz w:val="24"/>
        </w:rPr>
        <w:br w:type="page"/>
        <w:t>A HEP Fórum működése:</w:t>
      </w:r>
    </w:p>
    <w:p w:rsidR="00795A46" w:rsidRDefault="00795A46" w:rsidP="00795A46">
      <w:pPr>
        <w:pStyle w:val="Nincstrkz"/>
        <w:rPr>
          <w:rFonts w:ascii="Times New Roman" w:hAnsi="Times New Roman"/>
          <w:color w:val="000000"/>
          <w:sz w:val="24"/>
        </w:rPr>
      </w:pPr>
    </w:p>
    <w:p w:rsidR="00795A46" w:rsidRDefault="00795A46" w:rsidP="00795A46">
      <w:pPr>
        <w:pStyle w:val="Nincstrkz"/>
        <w:rPr>
          <w:rFonts w:ascii="Times New Roman" w:hAnsi="Times New Roman"/>
          <w:color w:val="000000"/>
          <w:sz w:val="24"/>
        </w:rPr>
      </w:pPr>
    </w:p>
    <w:p w:rsidR="00795A46" w:rsidRDefault="00795A46" w:rsidP="00795A46">
      <w:pPr>
        <w:pStyle w:val="Nincstrkz"/>
        <w:rPr>
          <w:rFonts w:ascii="Times New Roman" w:hAnsi="Times New Roman"/>
          <w:color w:val="000000"/>
          <w:sz w:val="24"/>
        </w:rPr>
      </w:pPr>
      <w:r>
        <w:rPr>
          <w:rFonts w:ascii="Times New Roman" w:hAnsi="Times New Roman"/>
          <w:color w:val="000000"/>
          <w:sz w:val="24"/>
        </w:rPr>
        <w:t>A Fórum legalább kétévente, a felülvizsgálatok és az új HEP elfogadása előtt, de szükség esetén ennél gyakrabban ülésezik.</w:t>
      </w:r>
    </w:p>
    <w:p w:rsidR="00795A46" w:rsidRDefault="00795A46" w:rsidP="00795A46">
      <w:pPr>
        <w:pStyle w:val="Nincstrkz"/>
        <w:rPr>
          <w:rFonts w:ascii="Times New Roman" w:hAnsi="Times New Roman"/>
          <w:color w:val="000000"/>
          <w:sz w:val="24"/>
        </w:rPr>
      </w:pPr>
      <w:r>
        <w:rPr>
          <w:rFonts w:ascii="Times New Roman" w:hAnsi="Times New Roman"/>
          <w:color w:val="000000"/>
          <w:sz w:val="24"/>
        </w:rPr>
        <w:t>A Fórum működését megfelelően dokumentálja, üléseiről jegyzőkönyv készül.</w:t>
      </w:r>
    </w:p>
    <w:p w:rsidR="00795A46" w:rsidRDefault="00795A46" w:rsidP="00795A46">
      <w:pPr>
        <w:pStyle w:val="Nincstrkz"/>
        <w:rPr>
          <w:rFonts w:ascii="Times New Roman" w:hAnsi="Times New Roman"/>
          <w:color w:val="000000"/>
          <w:sz w:val="24"/>
        </w:rPr>
      </w:pPr>
      <w:r>
        <w:rPr>
          <w:rFonts w:ascii="Times New Roman" w:hAnsi="Times New Roman"/>
          <w:color w:val="000000"/>
          <w:sz w:val="24"/>
        </w:rPr>
        <w:t>A Fórum javaslatot tesz az HEP IT megvalósulásáról készített beszámoló elfogadására, vagy átdolgoztatására, valamint szükség szerinti módosítására.</w:t>
      </w:r>
    </w:p>
    <w:p w:rsidR="00795A46" w:rsidRDefault="00795A46" w:rsidP="00795A46">
      <w:pPr>
        <w:pStyle w:val="Nincstrkz"/>
        <w:rPr>
          <w:rFonts w:ascii="Times New Roman" w:hAnsi="Times New Roman"/>
          <w:color w:val="000000"/>
          <w:sz w:val="24"/>
        </w:rPr>
      </w:pPr>
      <w:r>
        <w:rPr>
          <w:rFonts w:ascii="Times New Roman" w:hAnsi="Times New Roman"/>
          <w:color w:val="000000"/>
          <w:sz w:val="24"/>
        </w:rPr>
        <w:t>A HEP Fórum egy-egy beavatkozási terület végrehajtására felelőst jelölhet ki tagjai közül.</w:t>
      </w:r>
    </w:p>
    <w:p w:rsidR="00795A46" w:rsidRDefault="00795A46" w:rsidP="00795A46">
      <w:pPr>
        <w:pStyle w:val="Nincstrkz"/>
        <w:rPr>
          <w:rFonts w:ascii="Times New Roman" w:hAnsi="Times New Roman"/>
          <w:color w:val="000000"/>
          <w:sz w:val="24"/>
        </w:rPr>
      </w:pPr>
      <w:bookmarkStart w:id="149" w:name="_Toc214529849"/>
      <w:bookmarkStart w:id="150" w:name="_Toc212717012"/>
      <w:bookmarkStart w:id="151" w:name="_Toc212716895"/>
      <w:bookmarkStart w:id="152" w:name="_Toc212699637"/>
      <w:bookmarkStart w:id="153" w:name="_Toc212697742"/>
    </w:p>
    <w:p w:rsidR="00795A46" w:rsidRDefault="00795A46" w:rsidP="00795A46">
      <w:pPr>
        <w:pStyle w:val="Nincstrkz"/>
        <w:rPr>
          <w:rFonts w:ascii="Times New Roman" w:hAnsi="Times New Roman"/>
          <w:b/>
          <w:bCs/>
          <w:color w:val="000000"/>
          <w:sz w:val="24"/>
        </w:rPr>
      </w:pPr>
      <w:r>
        <w:rPr>
          <w:rFonts w:ascii="Times New Roman" w:hAnsi="Times New Roman"/>
          <w:b/>
          <w:bCs/>
          <w:color w:val="000000"/>
          <w:sz w:val="24"/>
        </w:rPr>
        <w:t>A HEP Fórumok javasolt összetétele:</w:t>
      </w:r>
    </w:p>
    <w:p w:rsidR="00795A46" w:rsidRDefault="00795A46" w:rsidP="00795A46">
      <w:pPr>
        <w:pStyle w:val="Nincstrkz"/>
        <w:rPr>
          <w:rFonts w:ascii="Times New Roman" w:hAnsi="Times New Roman"/>
          <w:color w:val="000000"/>
          <w:sz w:val="24"/>
          <w:u w:val="single"/>
        </w:rPr>
      </w:pPr>
    </w:p>
    <w:p w:rsidR="00795A46" w:rsidRDefault="00795A46" w:rsidP="00795A46">
      <w:pPr>
        <w:pStyle w:val="Nincstrkz"/>
        <w:rPr>
          <w:rFonts w:ascii="Times New Roman" w:hAnsi="Times New Roman"/>
          <w:color w:val="000000"/>
          <w:sz w:val="24"/>
          <w:u w:val="single"/>
        </w:rPr>
      </w:pPr>
    </w:p>
    <w:p w:rsidR="00795A46" w:rsidRDefault="00795A46" w:rsidP="00795A46">
      <w:pPr>
        <w:pStyle w:val="Nincstrkz"/>
        <w:rPr>
          <w:rFonts w:ascii="Times New Roman" w:hAnsi="Times New Roman"/>
          <w:color w:val="000000"/>
          <w:sz w:val="24"/>
          <w:u w:val="single"/>
        </w:rPr>
      </w:pPr>
      <w:r>
        <w:rPr>
          <w:rFonts w:ascii="Times New Roman" w:hAnsi="Times New Roman"/>
          <w:color w:val="000000"/>
          <w:sz w:val="24"/>
          <w:u w:val="single"/>
        </w:rPr>
        <w:t>Tagok</w:t>
      </w:r>
    </w:p>
    <w:p w:rsidR="00795A46" w:rsidRDefault="00795A46" w:rsidP="00795A46">
      <w:pPr>
        <w:pStyle w:val="Nincstrkz"/>
        <w:numPr>
          <w:ilvl w:val="0"/>
          <w:numId w:val="33"/>
        </w:numPr>
        <w:rPr>
          <w:rFonts w:ascii="Times New Roman" w:hAnsi="Times New Roman"/>
          <w:color w:val="000000"/>
          <w:sz w:val="24"/>
        </w:rPr>
      </w:pPr>
      <w:r>
        <w:rPr>
          <w:rFonts w:ascii="Times New Roman" w:hAnsi="Times New Roman"/>
          <w:color w:val="000000"/>
          <w:sz w:val="24"/>
        </w:rPr>
        <w:t>a település polgármestere,</w:t>
      </w:r>
    </w:p>
    <w:p w:rsidR="00795A46" w:rsidRDefault="00795A46" w:rsidP="00795A46">
      <w:pPr>
        <w:pStyle w:val="Nincstrkz"/>
        <w:numPr>
          <w:ilvl w:val="0"/>
          <w:numId w:val="33"/>
        </w:numPr>
        <w:rPr>
          <w:rFonts w:ascii="Times New Roman" w:hAnsi="Times New Roman"/>
          <w:color w:val="000000"/>
          <w:sz w:val="24"/>
        </w:rPr>
      </w:pPr>
      <w:r>
        <w:rPr>
          <w:rFonts w:ascii="Times New Roman" w:hAnsi="Times New Roman"/>
          <w:color w:val="000000"/>
          <w:sz w:val="24"/>
        </w:rPr>
        <w:t>a település/közös önkormányzatok jegyzője,</w:t>
      </w:r>
    </w:p>
    <w:p w:rsidR="00795A46" w:rsidRDefault="00795A46" w:rsidP="00795A46">
      <w:pPr>
        <w:pStyle w:val="Nincstrkz"/>
        <w:numPr>
          <w:ilvl w:val="0"/>
          <w:numId w:val="33"/>
        </w:numPr>
        <w:rPr>
          <w:rFonts w:ascii="Times New Roman" w:hAnsi="Times New Roman"/>
          <w:color w:val="000000"/>
          <w:sz w:val="24"/>
        </w:rPr>
      </w:pPr>
      <w:r>
        <w:rPr>
          <w:rFonts w:ascii="Times New Roman" w:hAnsi="Times New Roman"/>
          <w:color w:val="000000"/>
          <w:sz w:val="24"/>
        </w:rPr>
        <w:t>helyi nemzetiségi önkormányzatok vezetői,</w:t>
      </w:r>
    </w:p>
    <w:p w:rsidR="00795A46" w:rsidRDefault="00795A46" w:rsidP="00795A46">
      <w:pPr>
        <w:pStyle w:val="Nincstrkz"/>
        <w:numPr>
          <w:ilvl w:val="0"/>
          <w:numId w:val="33"/>
        </w:numPr>
        <w:rPr>
          <w:rFonts w:ascii="Times New Roman" w:hAnsi="Times New Roman"/>
          <w:color w:val="000000"/>
          <w:sz w:val="24"/>
        </w:rPr>
      </w:pPr>
      <w:r>
        <w:rPr>
          <w:rFonts w:ascii="Times New Roman" w:hAnsi="Times New Roman"/>
          <w:color w:val="000000"/>
          <w:sz w:val="24"/>
        </w:rPr>
        <w:t>beavatkozási területekhez kapcsolódó önkormányzati bizottságok képviselői,</w:t>
      </w:r>
    </w:p>
    <w:p w:rsidR="00795A46" w:rsidRDefault="00795A46" w:rsidP="00795A46">
      <w:pPr>
        <w:pStyle w:val="Nincstrkz"/>
        <w:numPr>
          <w:ilvl w:val="0"/>
          <w:numId w:val="33"/>
        </w:numPr>
        <w:rPr>
          <w:rFonts w:ascii="Times New Roman" w:hAnsi="Times New Roman"/>
          <w:color w:val="000000"/>
          <w:sz w:val="24"/>
        </w:rPr>
      </w:pPr>
      <w:r>
        <w:rPr>
          <w:rFonts w:ascii="Times New Roman" w:hAnsi="Times New Roman"/>
          <w:color w:val="000000"/>
          <w:sz w:val="24"/>
        </w:rPr>
        <w:t xml:space="preserve">helyi/térségi releváns közszolgáltató intézmények képviselői, </w:t>
      </w:r>
    </w:p>
    <w:p w:rsidR="00795A46" w:rsidRDefault="00795A46" w:rsidP="00795A46">
      <w:pPr>
        <w:pStyle w:val="Nincstrkz"/>
        <w:numPr>
          <w:ilvl w:val="0"/>
          <w:numId w:val="33"/>
        </w:numPr>
        <w:rPr>
          <w:rFonts w:ascii="Times New Roman" w:hAnsi="Times New Roman"/>
          <w:color w:val="000000"/>
          <w:sz w:val="24"/>
        </w:rPr>
      </w:pPr>
      <w:r>
        <w:rPr>
          <w:rFonts w:ascii="Times New Roman" w:hAnsi="Times New Roman"/>
          <w:color w:val="000000"/>
          <w:sz w:val="24"/>
        </w:rPr>
        <w:t>meghatározó helyi/térségi gazdasági szereplők, munkáltatók képviselői,</w:t>
      </w:r>
    </w:p>
    <w:p w:rsidR="00795A46" w:rsidRDefault="00795A46" w:rsidP="00795A46">
      <w:pPr>
        <w:pStyle w:val="Nincstrkz"/>
        <w:numPr>
          <w:ilvl w:val="0"/>
          <w:numId w:val="33"/>
        </w:numPr>
        <w:rPr>
          <w:rFonts w:ascii="Times New Roman" w:hAnsi="Times New Roman"/>
          <w:color w:val="000000"/>
          <w:sz w:val="24"/>
        </w:rPr>
      </w:pPr>
      <w:r>
        <w:rPr>
          <w:rFonts w:ascii="Times New Roman" w:hAnsi="Times New Roman"/>
          <w:color w:val="000000"/>
          <w:sz w:val="24"/>
        </w:rPr>
        <w:t>2 000 fő lakosságszám feletti települések esetében a Szociálpolitikai Kerekasztal képviselői,</w:t>
      </w:r>
    </w:p>
    <w:p w:rsidR="00795A46" w:rsidRDefault="00795A46" w:rsidP="00795A46">
      <w:pPr>
        <w:pStyle w:val="Nincstrkz"/>
        <w:numPr>
          <w:ilvl w:val="0"/>
          <w:numId w:val="33"/>
        </w:numPr>
        <w:rPr>
          <w:rFonts w:ascii="Times New Roman" w:hAnsi="Times New Roman"/>
          <w:color w:val="000000"/>
          <w:sz w:val="24"/>
        </w:rPr>
      </w:pPr>
      <w:r>
        <w:rPr>
          <w:rFonts w:ascii="Times New Roman" w:hAnsi="Times New Roman"/>
          <w:color w:val="000000"/>
          <w:sz w:val="24"/>
        </w:rPr>
        <w:t>helyi jelzőrendszeri felelős,</w:t>
      </w:r>
    </w:p>
    <w:p w:rsidR="00795A46" w:rsidRDefault="00795A46" w:rsidP="00795A46">
      <w:pPr>
        <w:pStyle w:val="Nincstrkz"/>
        <w:numPr>
          <w:ilvl w:val="0"/>
          <w:numId w:val="33"/>
        </w:numPr>
        <w:rPr>
          <w:rFonts w:ascii="Times New Roman" w:hAnsi="Times New Roman"/>
          <w:color w:val="000000"/>
          <w:sz w:val="24"/>
        </w:rPr>
      </w:pPr>
      <w:r>
        <w:rPr>
          <w:rFonts w:ascii="Times New Roman" w:hAnsi="Times New Roman"/>
          <w:color w:val="000000"/>
          <w:sz w:val="24"/>
        </w:rPr>
        <w:t>a településen működő - a HEP célcsoportjai kapcsán érintett - civil szervezetek és egyházak képviselői,</w:t>
      </w:r>
    </w:p>
    <w:p w:rsidR="00795A46" w:rsidRDefault="00795A46" w:rsidP="00795A46">
      <w:pPr>
        <w:pStyle w:val="Nincstrkz"/>
        <w:numPr>
          <w:ilvl w:val="0"/>
          <w:numId w:val="33"/>
        </w:numPr>
        <w:rPr>
          <w:rFonts w:ascii="Times New Roman" w:hAnsi="Times New Roman"/>
          <w:color w:val="000000"/>
          <w:sz w:val="24"/>
        </w:rPr>
      </w:pPr>
      <w:r>
        <w:rPr>
          <w:rFonts w:ascii="Times New Roman" w:hAnsi="Times New Roman"/>
          <w:color w:val="000000"/>
          <w:sz w:val="24"/>
        </w:rPr>
        <w:t>A HEP intézkedési tervében szereplő intézkedések végrehajtásáért felelős intézmények, szervezetek képviselői,</w:t>
      </w:r>
    </w:p>
    <w:p w:rsidR="00795A46" w:rsidRDefault="00795A46" w:rsidP="00795A46">
      <w:pPr>
        <w:pStyle w:val="Nincstrkz"/>
        <w:numPr>
          <w:ilvl w:val="0"/>
          <w:numId w:val="33"/>
        </w:numPr>
        <w:rPr>
          <w:rFonts w:ascii="Times New Roman" w:hAnsi="Times New Roman"/>
          <w:color w:val="000000"/>
          <w:sz w:val="24"/>
        </w:rPr>
      </w:pPr>
      <w:r>
        <w:rPr>
          <w:rFonts w:ascii="Times New Roman" w:hAnsi="Times New Roman"/>
          <w:color w:val="000000"/>
          <w:sz w:val="24"/>
        </w:rPr>
        <w:t>a település HEP referense,</w:t>
      </w:r>
    </w:p>
    <w:p w:rsidR="00795A46" w:rsidRDefault="00795A46" w:rsidP="00795A46">
      <w:pPr>
        <w:pStyle w:val="Nincstrkz"/>
        <w:numPr>
          <w:ilvl w:val="0"/>
          <w:numId w:val="33"/>
        </w:numPr>
        <w:rPr>
          <w:rFonts w:ascii="Times New Roman" w:hAnsi="Times New Roman"/>
          <w:color w:val="000000"/>
          <w:sz w:val="24"/>
        </w:rPr>
      </w:pPr>
      <w:r>
        <w:rPr>
          <w:rFonts w:ascii="Times New Roman" w:hAnsi="Times New Roman"/>
          <w:color w:val="000000"/>
          <w:sz w:val="24"/>
        </w:rPr>
        <w:t>a rendvédelmi és közbiztonsági szervezetek képviselői,</w:t>
      </w:r>
    </w:p>
    <w:p w:rsidR="00795A46" w:rsidRDefault="00795A46" w:rsidP="00795A46">
      <w:pPr>
        <w:pStyle w:val="Nincstrkz"/>
        <w:numPr>
          <w:ilvl w:val="0"/>
          <w:numId w:val="33"/>
        </w:numPr>
        <w:rPr>
          <w:rFonts w:ascii="Times New Roman" w:hAnsi="Times New Roman"/>
          <w:color w:val="000000"/>
          <w:sz w:val="24"/>
        </w:rPr>
      </w:pPr>
      <w:r>
        <w:rPr>
          <w:rFonts w:ascii="Times New Roman" w:hAnsi="Times New Roman"/>
          <w:color w:val="000000"/>
          <w:sz w:val="24"/>
        </w:rPr>
        <w:t>egyéb tagok (pl. tapasztalati szakértőként valamely célcsoportban érintett személy, vagy a településen aktív szerepet vállaló személyek).</w:t>
      </w:r>
    </w:p>
    <w:p w:rsidR="00795A46" w:rsidRDefault="00795A46" w:rsidP="00795A46">
      <w:pPr>
        <w:pStyle w:val="Nincstrkz"/>
        <w:rPr>
          <w:rFonts w:ascii="Times New Roman" w:hAnsi="Times New Roman"/>
          <w:color w:val="000000"/>
          <w:sz w:val="24"/>
        </w:rPr>
      </w:pPr>
    </w:p>
    <w:p w:rsidR="00795A46" w:rsidRDefault="00795A46" w:rsidP="00795A46">
      <w:pPr>
        <w:pStyle w:val="Nincstrkz"/>
        <w:rPr>
          <w:rFonts w:ascii="Times New Roman" w:hAnsi="Times New Roman"/>
          <w:color w:val="000000"/>
          <w:sz w:val="24"/>
          <w:u w:val="single"/>
        </w:rPr>
      </w:pPr>
      <w:r>
        <w:rPr>
          <w:rFonts w:ascii="Times New Roman" w:hAnsi="Times New Roman"/>
          <w:color w:val="000000"/>
          <w:sz w:val="24"/>
          <w:u w:val="single"/>
        </w:rPr>
        <w:t>Állandó meghívottak</w:t>
      </w:r>
    </w:p>
    <w:p w:rsidR="00795A46" w:rsidRDefault="00795A46" w:rsidP="00795A46">
      <w:pPr>
        <w:pStyle w:val="Nincstrkz"/>
        <w:numPr>
          <w:ilvl w:val="0"/>
          <w:numId w:val="34"/>
        </w:numPr>
        <w:rPr>
          <w:rFonts w:ascii="Times New Roman" w:hAnsi="Times New Roman"/>
          <w:color w:val="000000"/>
          <w:sz w:val="24"/>
        </w:rPr>
      </w:pPr>
      <w:r>
        <w:rPr>
          <w:rFonts w:ascii="Times New Roman" w:hAnsi="Times New Roman"/>
          <w:color w:val="000000"/>
          <w:sz w:val="24"/>
        </w:rPr>
        <w:t>a település képviselő-testületének tagjai,</w:t>
      </w:r>
    </w:p>
    <w:p w:rsidR="00795A46" w:rsidRDefault="00795A46" w:rsidP="00795A46">
      <w:pPr>
        <w:pStyle w:val="Nincstrkz"/>
        <w:numPr>
          <w:ilvl w:val="0"/>
          <w:numId w:val="34"/>
        </w:numPr>
        <w:rPr>
          <w:rFonts w:ascii="Times New Roman" w:hAnsi="Times New Roman"/>
          <w:color w:val="000000"/>
          <w:sz w:val="24"/>
        </w:rPr>
      </w:pPr>
      <w:r>
        <w:rPr>
          <w:rFonts w:ascii="Times New Roman" w:hAnsi="Times New Roman"/>
          <w:color w:val="000000"/>
          <w:sz w:val="24"/>
        </w:rPr>
        <w:t>az illetékes esélyegyenlőségi mentor,</w:t>
      </w:r>
    </w:p>
    <w:p w:rsidR="00795A46" w:rsidRDefault="00795A46" w:rsidP="00795A46">
      <w:pPr>
        <w:pStyle w:val="Nincstrkz"/>
        <w:numPr>
          <w:ilvl w:val="0"/>
          <w:numId w:val="34"/>
        </w:numPr>
        <w:rPr>
          <w:rFonts w:ascii="Times New Roman" w:hAnsi="Times New Roman"/>
          <w:color w:val="000000"/>
          <w:sz w:val="24"/>
        </w:rPr>
      </w:pPr>
      <w:r>
        <w:rPr>
          <w:rFonts w:ascii="Times New Roman" w:hAnsi="Times New Roman"/>
          <w:color w:val="000000"/>
          <w:sz w:val="24"/>
        </w:rPr>
        <w:t>tankerületi központ képviselője,</w:t>
      </w:r>
    </w:p>
    <w:p w:rsidR="00795A46" w:rsidRDefault="00795A46" w:rsidP="00795A46">
      <w:pPr>
        <w:pStyle w:val="Nincstrkz"/>
        <w:numPr>
          <w:ilvl w:val="0"/>
          <w:numId w:val="34"/>
        </w:numPr>
        <w:rPr>
          <w:rFonts w:ascii="Times New Roman" w:hAnsi="Times New Roman"/>
          <w:color w:val="000000"/>
          <w:sz w:val="24"/>
        </w:rPr>
      </w:pPr>
      <w:r>
        <w:rPr>
          <w:rFonts w:ascii="Times New Roman" w:hAnsi="Times New Roman"/>
          <w:color w:val="000000"/>
          <w:sz w:val="24"/>
        </w:rPr>
        <w:t>környező települések önkormányzati szereplői,</w:t>
      </w:r>
    </w:p>
    <w:p w:rsidR="00795A46" w:rsidRDefault="00795A46" w:rsidP="00795A46">
      <w:pPr>
        <w:pStyle w:val="Nincstrkz"/>
        <w:numPr>
          <w:ilvl w:val="0"/>
          <w:numId w:val="34"/>
        </w:numPr>
        <w:rPr>
          <w:rFonts w:ascii="Times New Roman" w:hAnsi="Times New Roman"/>
          <w:color w:val="000000"/>
          <w:sz w:val="24"/>
        </w:rPr>
      </w:pPr>
      <w:r>
        <w:rPr>
          <w:rFonts w:ascii="Times New Roman" w:hAnsi="Times New Roman"/>
          <w:color w:val="000000"/>
          <w:sz w:val="24"/>
        </w:rPr>
        <w:t>járási jelzőrendszeri tanácsadó,</w:t>
      </w:r>
    </w:p>
    <w:p w:rsidR="00795A46" w:rsidRDefault="00795A46" w:rsidP="00795A46">
      <w:pPr>
        <w:pStyle w:val="Nincstrkz"/>
        <w:numPr>
          <w:ilvl w:val="0"/>
          <w:numId w:val="34"/>
        </w:numPr>
        <w:rPr>
          <w:rFonts w:ascii="Times New Roman" w:hAnsi="Times New Roman"/>
          <w:color w:val="000000"/>
          <w:sz w:val="24"/>
        </w:rPr>
      </w:pPr>
      <w:r>
        <w:rPr>
          <w:rFonts w:ascii="Times New Roman" w:hAnsi="Times New Roman"/>
          <w:color w:val="000000"/>
          <w:sz w:val="24"/>
        </w:rPr>
        <w:t>egyéb meghívottak (járási hivatalok beavatkozási területekhez és célcsoportokhoz kapcsolódó szervezeti egységeinek képviselői, térségi felzárkózási programok képviselői).</w:t>
      </w:r>
    </w:p>
    <w:p w:rsidR="00795A46" w:rsidRDefault="00795A46" w:rsidP="00795A46">
      <w:pPr>
        <w:pStyle w:val="Nincstrkz"/>
        <w:rPr>
          <w:rFonts w:ascii="Times New Roman" w:hAnsi="Times New Roman"/>
          <w:color w:val="000000"/>
          <w:sz w:val="24"/>
        </w:rPr>
      </w:pPr>
    </w:p>
    <w:p w:rsidR="00795A46" w:rsidRDefault="00795A46" w:rsidP="00795A46">
      <w:pPr>
        <w:pStyle w:val="Nincstrkz"/>
        <w:rPr>
          <w:rFonts w:ascii="Times New Roman" w:hAnsi="Times New Roman"/>
          <w:color w:val="000000"/>
          <w:sz w:val="24"/>
        </w:rPr>
      </w:pPr>
    </w:p>
    <w:p w:rsidR="00795A46" w:rsidRDefault="00795A46" w:rsidP="00795A46">
      <w:pPr>
        <w:pStyle w:val="Nincstrkz"/>
        <w:rPr>
          <w:rFonts w:ascii="Times New Roman" w:hAnsi="Times New Roman"/>
          <w:b/>
          <w:bCs/>
          <w:color w:val="000000"/>
          <w:sz w:val="24"/>
        </w:rPr>
      </w:pPr>
      <w:bookmarkStart w:id="154" w:name="_Toc79494640"/>
      <w:r>
        <w:rPr>
          <w:rFonts w:ascii="Times New Roman" w:hAnsi="Times New Roman"/>
          <w:b/>
          <w:bCs/>
          <w:color w:val="000000"/>
          <w:sz w:val="24"/>
        </w:rPr>
        <w:t>3.3 Monitoring</w:t>
      </w:r>
      <w:bookmarkEnd w:id="149"/>
      <w:bookmarkEnd w:id="150"/>
      <w:bookmarkEnd w:id="151"/>
      <w:bookmarkEnd w:id="152"/>
      <w:bookmarkEnd w:id="153"/>
      <w:r>
        <w:rPr>
          <w:rFonts w:ascii="Times New Roman" w:hAnsi="Times New Roman"/>
          <w:b/>
          <w:bCs/>
          <w:color w:val="000000"/>
          <w:sz w:val="24"/>
        </w:rPr>
        <w:t xml:space="preserve"> és visszacsatolás</w:t>
      </w:r>
      <w:bookmarkEnd w:id="154"/>
    </w:p>
    <w:p w:rsidR="00795A46" w:rsidRDefault="00795A46" w:rsidP="00795A46">
      <w:pPr>
        <w:pStyle w:val="Nincstrkz"/>
        <w:rPr>
          <w:rFonts w:ascii="Times New Roman" w:hAnsi="Times New Roman"/>
          <w:color w:val="000000"/>
          <w:sz w:val="24"/>
        </w:rPr>
      </w:pPr>
    </w:p>
    <w:p w:rsidR="00795A46" w:rsidRDefault="00795A46" w:rsidP="00795A46">
      <w:pPr>
        <w:pStyle w:val="Nincstrkz"/>
        <w:rPr>
          <w:rFonts w:ascii="Times New Roman" w:hAnsi="Times New Roman"/>
          <w:color w:val="000000"/>
          <w:sz w:val="24"/>
        </w:rPr>
      </w:pPr>
    </w:p>
    <w:p w:rsidR="00795A46" w:rsidRDefault="00795A46" w:rsidP="00795A46">
      <w:pPr>
        <w:pStyle w:val="Nincstrkz"/>
        <w:rPr>
          <w:rFonts w:ascii="Times New Roman" w:hAnsi="Times New Roman"/>
          <w:color w:val="000000"/>
          <w:sz w:val="24"/>
        </w:rPr>
      </w:pPr>
      <w:r>
        <w:rPr>
          <w:rFonts w:ascii="Times New Roman" w:hAnsi="Times New Roman"/>
          <w:color w:val="000000"/>
          <w:sz w:val="24"/>
        </w:rPr>
        <w:t>A Helyi Esélyegyenlőségi Program megvalósulását, végrehajtását a HEP Fórum ellenőrzi, és javaslatot készít a HEP szükség szerinti aktualizálására az egyes beavatkozási területek felelőseinek, illetve a létrehozott munkacsoportok beszámolóinak alapján.</w:t>
      </w:r>
    </w:p>
    <w:p w:rsidR="00795A46" w:rsidRDefault="00795A46" w:rsidP="00795A46">
      <w:pPr>
        <w:pStyle w:val="Nincstrkz"/>
        <w:rPr>
          <w:rFonts w:ascii="Times New Roman" w:hAnsi="Times New Roman"/>
          <w:color w:val="000000"/>
          <w:sz w:val="24"/>
        </w:rPr>
      </w:pPr>
    </w:p>
    <w:p w:rsidR="00795A46" w:rsidRDefault="00795A46" w:rsidP="00795A46">
      <w:pPr>
        <w:pStyle w:val="Nincstrkz"/>
        <w:rPr>
          <w:rFonts w:ascii="Times New Roman" w:hAnsi="Times New Roman"/>
          <w:b/>
          <w:bCs/>
          <w:color w:val="000000"/>
          <w:sz w:val="24"/>
        </w:rPr>
      </w:pPr>
      <w:bookmarkStart w:id="155" w:name="_Toc79494641"/>
      <w:bookmarkStart w:id="156" w:name="_Toc214529851"/>
      <w:bookmarkStart w:id="157" w:name="_Toc212717013"/>
      <w:bookmarkStart w:id="158" w:name="_Toc212716896"/>
      <w:bookmarkStart w:id="159" w:name="_Toc212699638"/>
      <w:bookmarkStart w:id="160" w:name="_Toc212697743"/>
      <w:r>
        <w:rPr>
          <w:rFonts w:ascii="Times New Roman" w:hAnsi="Times New Roman"/>
          <w:b/>
          <w:bCs/>
          <w:color w:val="000000"/>
          <w:sz w:val="24"/>
        </w:rPr>
        <w:t>3.4 Nyilvánosság</w:t>
      </w:r>
      <w:bookmarkEnd w:id="155"/>
      <w:bookmarkEnd w:id="156"/>
      <w:bookmarkEnd w:id="157"/>
      <w:bookmarkEnd w:id="158"/>
      <w:bookmarkEnd w:id="159"/>
      <w:bookmarkEnd w:id="160"/>
    </w:p>
    <w:p w:rsidR="00795A46" w:rsidRDefault="00795A46" w:rsidP="00795A46">
      <w:pPr>
        <w:pStyle w:val="Nincstrkz"/>
        <w:rPr>
          <w:rFonts w:ascii="Times New Roman" w:hAnsi="Times New Roman"/>
          <w:color w:val="000000"/>
          <w:sz w:val="24"/>
        </w:rPr>
      </w:pPr>
    </w:p>
    <w:p w:rsidR="00795A46" w:rsidRDefault="00795A46" w:rsidP="00795A46">
      <w:pPr>
        <w:pStyle w:val="Nincstrkz"/>
        <w:rPr>
          <w:rFonts w:ascii="Times New Roman" w:hAnsi="Times New Roman"/>
          <w:color w:val="000000"/>
          <w:sz w:val="24"/>
        </w:rPr>
      </w:pPr>
    </w:p>
    <w:p w:rsidR="00795A46" w:rsidRDefault="00795A46" w:rsidP="00795A46">
      <w:pPr>
        <w:pStyle w:val="Nincstrkz"/>
        <w:jc w:val="both"/>
        <w:rPr>
          <w:rFonts w:ascii="Times New Roman" w:hAnsi="Times New Roman"/>
          <w:color w:val="000000"/>
          <w:sz w:val="24"/>
        </w:rPr>
      </w:pPr>
      <w:r>
        <w:rPr>
          <w:rFonts w:ascii="Times New Roman" w:hAnsi="Times New Roman"/>
          <w:color w:val="000000"/>
          <w:sz w:val="24"/>
        </w:rPr>
        <w:t xml:space="preserve">A program elfogadását megelőzően, a véleménynyilvánítás lehetőségének biztosítása érdekében nyilvános fórumot hívunk össze. </w:t>
      </w:r>
    </w:p>
    <w:p w:rsidR="00795A46" w:rsidRDefault="00795A46" w:rsidP="00795A46">
      <w:pPr>
        <w:pStyle w:val="Nincstrkz"/>
        <w:jc w:val="both"/>
        <w:rPr>
          <w:rFonts w:ascii="Times New Roman" w:hAnsi="Times New Roman"/>
          <w:color w:val="000000"/>
          <w:sz w:val="24"/>
        </w:rPr>
      </w:pPr>
    </w:p>
    <w:p w:rsidR="00795A46" w:rsidRDefault="00795A46" w:rsidP="00795A46">
      <w:pPr>
        <w:pStyle w:val="Nincstrkz"/>
        <w:jc w:val="both"/>
        <w:rPr>
          <w:rFonts w:ascii="Times New Roman" w:hAnsi="Times New Roman"/>
          <w:color w:val="000000"/>
          <w:sz w:val="24"/>
        </w:rPr>
      </w:pPr>
      <w:r>
        <w:rPr>
          <w:rFonts w:ascii="Times New Roman" w:hAnsi="Times New Roman"/>
          <w:color w:val="000000"/>
          <w:sz w:val="24"/>
        </w:rPr>
        <w:t xml:space="preserve">A véleményformálás lehetőségét biztosítja az Helyi Esélyegyenlőségi Program nyilvánosságra hozatala is, valamint a megvalósítás folyamatát koordináló HEP Fórum első ülésének mihamarabbi összehívása. </w:t>
      </w:r>
    </w:p>
    <w:p w:rsidR="00795A46" w:rsidRDefault="00795A46" w:rsidP="00795A46">
      <w:pPr>
        <w:pStyle w:val="Nincstrkz"/>
        <w:jc w:val="both"/>
        <w:rPr>
          <w:rFonts w:ascii="Times New Roman" w:hAnsi="Times New Roman"/>
          <w:color w:val="000000"/>
          <w:sz w:val="24"/>
        </w:rPr>
      </w:pPr>
    </w:p>
    <w:p w:rsidR="00795A46" w:rsidRDefault="00795A46" w:rsidP="00795A46">
      <w:pPr>
        <w:pStyle w:val="Nincstrkz"/>
        <w:jc w:val="both"/>
        <w:rPr>
          <w:rFonts w:ascii="Times New Roman" w:hAnsi="Times New Roman"/>
          <w:color w:val="000000"/>
          <w:sz w:val="24"/>
        </w:rPr>
      </w:pPr>
      <w:r>
        <w:rPr>
          <w:rFonts w:ascii="Times New Roman" w:hAnsi="Times New Roman"/>
          <w:color w:val="000000"/>
          <w:sz w:val="24"/>
        </w:rPr>
        <w:t>A nyilvánosság folyamatos biztosítására legalább évente tájékoztatjuk a program megvalósításában elért eredményekről, a monitoring eredményeiről a település döntéshozóit, tisztségviselőit, az intézményeket és az együttműködő szakmai és társadalmi partnerek képviselőit.</w:t>
      </w:r>
    </w:p>
    <w:p w:rsidR="00795A46" w:rsidRDefault="00795A46" w:rsidP="00795A46">
      <w:pPr>
        <w:pStyle w:val="Nincstrkz"/>
        <w:jc w:val="both"/>
        <w:rPr>
          <w:rFonts w:ascii="Times New Roman" w:hAnsi="Times New Roman"/>
          <w:color w:val="000000"/>
          <w:sz w:val="24"/>
        </w:rPr>
      </w:pPr>
    </w:p>
    <w:p w:rsidR="00795A46" w:rsidRDefault="00795A46" w:rsidP="00795A46">
      <w:pPr>
        <w:pStyle w:val="Nincstrkz"/>
        <w:jc w:val="both"/>
        <w:rPr>
          <w:rFonts w:ascii="Times New Roman" w:hAnsi="Times New Roman"/>
          <w:color w:val="000000"/>
          <w:sz w:val="24"/>
        </w:rPr>
      </w:pPr>
      <w:r>
        <w:rPr>
          <w:rFonts w:ascii="Times New Roman" w:hAnsi="Times New Roman"/>
          <w:color w:val="000000"/>
          <w:sz w:val="24"/>
        </w:rPr>
        <w:t>A HEP Fórum által végzett monitoring vizsgálatok eredményeit nyilvánosságra hozzuk a személyes adatok védelmének biztosítása mellett. A nyilvánosság biztosítására az önkormányzat honlapja, a helyi média áll rendelkezésre. Az eredményekre felhívjuk a figyelmet az önkormányzat és intézményeinek különböző rendezvényein, beépítjük kiadványainkba, a tolerancia, a befogadás, a hátrányos helyzetűek támogatásának fontosságát igyekszünk megértetni a lakossággal, a támogató szakmai és társadalmi környezet kialakítása érdekében.</w:t>
      </w:r>
    </w:p>
    <w:p w:rsidR="00795A46" w:rsidRDefault="00795A46" w:rsidP="00795A46">
      <w:pPr>
        <w:pStyle w:val="Nincstrkz"/>
        <w:rPr>
          <w:rFonts w:ascii="Times New Roman" w:hAnsi="Times New Roman"/>
          <w:color w:val="000000"/>
          <w:sz w:val="24"/>
        </w:rPr>
      </w:pPr>
    </w:p>
    <w:p w:rsidR="00795A46" w:rsidRDefault="00795A46" w:rsidP="00795A46">
      <w:pPr>
        <w:pStyle w:val="Nincstrkz"/>
        <w:rPr>
          <w:rFonts w:ascii="Times New Roman" w:hAnsi="Times New Roman"/>
          <w:color w:val="000000"/>
          <w:sz w:val="24"/>
        </w:rPr>
      </w:pPr>
      <w:bookmarkStart w:id="161" w:name="_Toc214529853"/>
      <w:bookmarkStart w:id="162" w:name="_Toc212717015"/>
      <w:bookmarkStart w:id="163" w:name="_Toc212716898"/>
      <w:bookmarkStart w:id="164" w:name="_Toc212699640"/>
      <w:bookmarkStart w:id="165" w:name="_Toc212697745"/>
      <w:bookmarkStart w:id="166" w:name="_Toc212562053"/>
      <w:bookmarkStart w:id="167" w:name="_Toc212560429"/>
    </w:p>
    <w:p w:rsidR="00795A46" w:rsidRDefault="00795A46" w:rsidP="00795A46">
      <w:pPr>
        <w:pStyle w:val="Nincstrkz"/>
        <w:rPr>
          <w:rFonts w:ascii="Times New Roman" w:hAnsi="Times New Roman"/>
          <w:b/>
          <w:color w:val="000000"/>
          <w:sz w:val="24"/>
        </w:rPr>
      </w:pPr>
      <w:r>
        <w:rPr>
          <w:rFonts w:ascii="Times New Roman" w:hAnsi="Times New Roman"/>
          <w:b/>
          <w:color w:val="000000"/>
          <w:sz w:val="24"/>
        </w:rPr>
        <w:t>3.5 Kötelezettségek és felelősség</w:t>
      </w:r>
      <w:bookmarkEnd w:id="161"/>
      <w:bookmarkEnd w:id="162"/>
      <w:bookmarkEnd w:id="163"/>
      <w:bookmarkEnd w:id="164"/>
      <w:bookmarkEnd w:id="165"/>
      <w:bookmarkEnd w:id="166"/>
      <w:bookmarkEnd w:id="167"/>
    </w:p>
    <w:p w:rsidR="00795A46" w:rsidRDefault="00795A46" w:rsidP="00795A46">
      <w:pPr>
        <w:pStyle w:val="Nincstrkz"/>
        <w:rPr>
          <w:rFonts w:ascii="Times New Roman" w:hAnsi="Times New Roman"/>
          <w:color w:val="000000"/>
          <w:sz w:val="24"/>
        </w:rPr>
      </w:pPr>
    </w:p>
    <w:p w:rsidR="00795A46" w:rsidRDefault="00795A46" w:rsidP="00795A46">
      <w:pPr>
        <w:pStyle w:val="Nincstrkz"/>
        <w:rPr>
          <w:rFonts w:ascii="Times New Roman" w:hAnsi="Times New Roman"/>
          <w:color w:val="000000"/>
          <w:sz w:val="24"/>
        </w:rPr>
      </w:pPr>
    </w:p>
    <w:p w:rsidR="00795A46" w:rsidRDefault="00795A46" w:rsidP="00795A46">
      <w:pPr>
        <w:pStyle w:val="Nincstrkz"/>
        <w:jc w:val="both"/>
        <w:rPr>
          <w:rFonts w:ascii="Times New Roman" w:hAnsi="Times New Roman"/>
          <w:color w:val="000000"/>
          <w:sz w:val="24"/>
        </w:rPr>
      </w:pPr>
      <w:r>
        <w:rPr>
          <w:rFonts w:ascii="Times New Roman" w:hAnsi="Times New Roman"/>
          <w:color w:val="000000"/>
          <w:sz w:val="24"/>
        </w:rPr>
        <w:t>Az esélyegyenlőséggel összefüggő feladatokért az alábbi személyek/csoportok felelősek:</w:t>
      </w:r>
    </w:p>
    <w:p w:rsidR="00795A46" w:rsidRDefault="00795A46" w:rsidP="00795A46">
      <w:pPr>
        <w:pStyle w:val="Nincstrkz"/>
        <w:jc w:val="both"/>
        <w:rPr>
          <w:rFonts w:ascii="Times New Roman" w:hAnsi="Times New Roman"/>
          <w:color w:val="000000"/>
          <w:sz w:val="24"/>
        </w:rPr>
      </w:pPr>
    </w:p>
    <w:p w:rsidR="00795A46" w:rsidRDefault="00795A46" w:rsidP="00795A46">
      <w:pPr>
        <w:pStyle w:val="Nincstrkz"/>
        <w:jc w:val="both"/>
        <w:rPr>
          <w:rFonts w:ascii="Times New Roman" w:hAnsi="Times New Roman"/>
          <w:b/>
          <w:color w:val="000000"/>
          <w:sz w:val="24"/>
        </w:rPr>
      </w:pPr>
      <w:r>
        <w:rPr>
          <w:rFonts w:ascii="Times New Roman" w:hAnsi="Times New Roman"/>
          <w:b/>
          <w:color w:val="000000"/>
          <w:sz w:val="24"/>
        </w:rPr>
        <w:t>A Helyi Esélyegyenlőségi Program végrehajtásáért az önkormányzat részéről a polgármester felel.</w:t>
      </w:r>
    </w:p>
    <w:p w:rsidR="00795A46" w:rsidRDefault="00795A46" w:rsidP="00795A46">
      <w:pPr>
        <w:pStyle w:val="Nincstrkz"/>
        <w:numPr>
          <w:ilvl w:val="0"/>
          <w:numId w:val="35"/>
        </w:numPr>
        <w:jc w:val="both"/>
        <w:rPr>
          <w:rFonts w:ascii="Times New Roman" w:hAnsi="Times New Roman"/>
          <w:color w:val="000000"/>
          <w:sz w:val="24"/>
        </w:rPr>
      </w:pPr>
      <w:r>
        <w:rPr>
          <w:rFonts w:ascii="Times New Roman" w:hAnsi="Times New Roman"/>
          <w:color w:val="000000"/>
          <w:sz w:val="24"/>
        </w:rPr>
        <w:t>Az ő feladata és felelőssége a HEP Fórum létrejöttének szervezése, működésének sokoldalú támogatása, az önkormányzat és a HEP Fórum közötti kapcsolat biztosítása.</w:t>
      </w:r>
    </w:p>
    <w:p w:rsidR="00795A46" w:rsidRDefault="00795A46" w:rsidP="00795A46">
      <w:pPr>
        <w:pStyle w:val="Nincstrkz"/>
        <w:numPr>
          <w:ilvl w:val="0"/>
          <w:numId w:val="35"/>
        </w:numPr>
        <w:jc w:val="both"/>
        <w:rPr>
          <w:rFonts w:ascii="Times New Roman" w:hAnsi="Times New Roman"/>
          <w:color w:val="000000"/>
          <w:sz w:val="24"/>
        </w:rPr>
      </w:pPr>
      <w:r>
        <w:rPr>
          <w:rFonts w:ascii="Times New Roman" w:hAnsi="Times New Roman"/>
          <w:color w:val="000000"/>
          <w:sz w:val="24"/>
        </w:rPr>
        <w:t>Folyamatosan együttműködik a HEP Fórum vezetőjével.</w:t>
      </w:r>
    </w:p>
    <w:p w:rsidR="00795A46" w:rsidRDefault="00795A46" w:rsidP="00795A46">
      <w:pPr>
        <w:pStyle w:val="Nincstrkz"/>
        <w:numPr>
          <w:ilvl w:val="0"/>
          <w:numId w:val="35"/>
        </w:numPr>
        <w:jc w:val="both"/>
        <w:rPr>
          <w:rFonts w:ascii="Times New Roman" w:hAnsi="Times New Roman"/>
          <w:color w:val="000000"/>
          <w:sz w:val="24"/>
        </w:rPr>
      </w:pPr>
      <w:r>
        <w:rPr>
          <w:rFonts w:ascii="Times New Roman" w:hAnsi="Times New Roman"/>
          <w:color w:val="000000"/>
          <w:sz w:val="24"/>
        </w:rPr>
        <w:t xml:space="preserve">Felelősségi körébe tartozó, az alábbiakban felsorolt tevékenységeit a HEP Fórum bevonásával és támogatásával végzi. Így </w:t>
      </w:r>
    </w:p>
    <w:p w:rsidR="00795A46" w:rsidRDefault="00795A46" w:rsidP="00795A46">
      <w:pPr>
        <w:pStyle w:val="Nincstrkz"/>
        <w:numPr>
          <w:ilvl w:val="1"/>
          <w:numId w:val="35"/>
        </w:numPr>
        <w:jc w:val="both"/>
        <w:rPr>
          <w:rFonts w:ascii="Times New Roman" w:hAnsi="Times New Roman"/>
          <w:color w:val="000000"/>
          <w:sz w:val="24"/>
        </w:rPr>
      </w:pPr>
      <w:r>
        <w:rPr>
          <w:rFonts w:ascii="Times New Roman" w:hAnsi="Times New Roman"/>
          <w:color w:val="000000"/>
          <w:sz w:val="24"/>
        </w:rPr>
        <w:t xml:space="preserve">Felel azért, hogy a település minden lakója és az érintett szakmai és társadalmi partnerek számára elérhető legyen a Helyi Esélyegyenlőségi Program. </w:t>
      </w:r>
    </w:p>
    <w:p w:rsidR="00795A46" w:rsidRDefault="00795A46" w:rsidP="00795A46">
      <w:pPr>
        <w:pStyle w:val="Nincstrkz"/>
        <w:numPr>
          <w:ilvl w:val="1"/>
          <w:numId w:val="35"/>
        </w:numPr>
        <w:jc w:val="both"/>
        <w:rPr>
          <w:rFonts w:ascii="Times New Roman" w:hAnsi="Times New Roman"/>
          <w:color w:val="000000"/>
          <w:sz w:val="24"/>
        </w:rPr>
      </w:pPr>
      <w:r>
        <w:rPr>
          <w:rFonts w:ascii="Times New Roman" w:hAnsi="Times New Roman"/>
          <w:color w:val="000000"/>
          <w:sz w:val="24"/>
        </w:rPr>
        <w:t xml:space="preserve">Figyelemmel kíséri azt, hogy az önkormányzat döntéshozói, tisztségviselői és intézményeinek dolgozói megismerik és követik a HEP-ben foglaltakat. </w:t>
      </w:r>
    </w:p>
    <w:p w:rsidR="00795A46" w:rsidRDefault="00795A46" w:rsidP="00795A46">
      <w:pPr>
        <w:pStyle w:val="Nincstrkz"/>
        <w:numPr>
          <w:ilvl w:val="1"/>
          <w:numId w:val="35"/>
        </w:numPr>
        <w:jc w:val="both"/>
        <w:rPr>
          <w:rFonts w:ascii="Times New Roman" w:hAnsi="Times New Roman"/>
          <w:color w:val="000000"/>
          <w:sz w:val="24"/>
        </w:rPr>
      </w:pPr>
      <w:r>
        <w:rPr>
          <w:rFonts w:ascii="Times New Roman" w:hAnsi="Times New Roman"/>
          <w:color w:val="000000"/>
          <w:sz w:val="24"/>
        </w:rPr>
        <w:t xml:space="preserve">Támogatnia kell, hogy az önkormányzat, illetve intézményeinek vezetői minden ponton megkapják a szükséges felkészítést és segítséget a HEP végrehajtásához. </w:t>
      </w:r>
    </w:p>
    <w:p w:rsidR="00795A46" w:rsidRDefault="00795A46" w:rsidP="00795A46">
      <w:pPr>
        <w:pStyle w:val="Nincstrkz"/>
        <w:numPr>
          <w:ilvl w:val="1"/>
          <w:numId w:val="35"/>
        </w:numPr>
        <w:jc w:val="both"/>
        <w:rPr>
          <w:rFonts w:ascii="Times New Roman" w:hAnsi="Times New Roman"/>
          <w:color w:val="000000"/>
          <w:sz w:val="24"/>
        </w:rPr>
      </w:pPr>
      <w:r>
        <w:rPr>
          <w:rFonts w:ascii="Times New Roman" w:hAnsi="Times New Roman"/>
          <w:color w:val="000000"/>
          <w:sz w:val="24"/>
        </w:rPr>
        <w:t xml:space="preserve">Kötelessége az egyenlő bánásmód elvét sértő esetekben meg tennie a szükséges lépéseket, vizsgálatot kezdeményezni, és a jogsértés következményeinek elhárításáról intézkedni </w:t>
      </w:r>
    </w:p>
    <w:p w:rsidR="00795A46" w:rsidRDefault="00795A46" w:rsidP="00795A46">
      <w:pPr>
        <w:pStyle w:val="Nincstrkz"/>
        <w:jc w:val="both"/>
        <w:rPr>
          <w:rFonts w:ascii="Times New Roman" w:hAnsi="Times New Roman"/>
          <w:color w:val="000000"/>
          <w:sz w:val="24"/>
        </w:rPr>
      </w:pPr>
    </w:p>
    <w:p w:rsidR="00795A46" w:rsidRDefault="00795A46" w:rsidP="00795A46">
      <w:pPr>
        <w:pStyle w:val="Nincstrkz"/>
        <w:jc w:val="both"/>
        <w:rPr>
          <w:rFonts w:ascii="Times New Roman" w:hAnsi="Times New Roman"/>
          <w:color w:val="000000"/>
          <w:sz w:val="24"/>
        </w:rPr>
      </w:pPr>
    </w:p>
    <w:p w:rsidR="00795A46" w:rsidRDefault="00795A46" w:rsidP="00795A46">
      <w:pPr>
        <w:pStyle w:val="Nincstrkz"/>
        <w:jc w:val="both"/>
        <w:rPr>
          <w:rFonts w:ascii="Times New Roman" w:hAnsi="Times New Roman"/>
          <w:color w:val="000000"/>
          <w:sz w:val="24"/>
        </w:rPr>
      </w:pPr>
      <w:r>
        <w:rPr>
          <w:rFonts w:ascii="Times New Roman" w:hAnsi="Times New Roman"/>
          <w:color w:val="000000"/>
          <w:sz w:val="24"/>
        </w:rPr>
        <w:t xml:space="preserve">A település vezetése, az önkormányzat tisztségviselői és a települési intézmények vezetői </w:t>
      </w:r>
    </w:p>
    <w:p w:rsidR="00795A46" w:rsidRDefault="00795A46" w:rsidP="00795A46">
      <w:pPr>
        <w:pStyle w:val="Nincstrkz"/>
        <w:numPr>
          <w:ilvl w:val="0"/>
          <w:numId w:val="35"/>
        </w:numPr>
        <w:jc w:val="both"/>
        <w:rPr>
          <w:rFonts w:ascii="Times New Roman" w:hAnsi="Times New Roman"/>
          <w:color w:val="000000"/>
          <w:sz w:val="24"/>
        </w:rPr>
      </w:pPr>
      <w:r>
        <w:rPr>
          <w:rFonts w:ascii="Times New Roman" w:hAnsi="Times New Roman"/>
          <w:color w:val="000000"/>
          <w:sz w:val="24"/>
        </w:rPr>
        <w:t xml:space="preserve">felelősek azért, hogy ismerjék az egyenlő bánásmódra és esélyegyenlőségre vonatkozó jogi előírásokat, biztosítsák a diszkriminációmentes intézményi szolgáltatásokat, a befogadó és toleráns légkört, és megragadjanak minden alkalmat, hogy az esélyegyenlőséggel kapcsolatos ismereteiket bővítő képzésen, egyéb programon részt vegyenek. </w:t>
      </w:r>
    </w:p>
    <w:p w:rsidR="00795A46" w:rsidRDefault="00795A46" w:rsidP="00795A46">
      <w:pPr>
        <w:pStyle w:val="Nincstrkz"/>
        <w:numPr>
          <w:ilvl w:val="0"/>
          <w:numId w:val="35"/>
        </w:numPr>
        <w:jc w:val="both"/>
        <w:rPr>
          <w:rFonts w:ascii="Times New Roman" w:hAnsi="Times New Roman"/>
          <w:color w:val="000000"/>
          <w:sz w:val="24"/>
        </w:rPr>
      </w:pPr>
      <w:r>
        <w:rPr>
          <w:rFonts w:ascii="Times New Roman" w:hAnsi="Times New Roman"/>
          <w:color w:val="000000"/>
          <w:sz w:val="24"/>
        </w:rPr>
        <w:t>Felelősségük továbbá, hogy ismerjék a HEP IT-ben foglaltakat és közreműködjenek annak megvalósításában.</w:t>
      </w:r>
    </w:p>
    <w:p w:rsidR="00795A46" w:rsidRDefault="00795A46" w:rsidP="00795A46">
      <w:pPr>
        <w:pStyle w:val="Nincstrkz"/>
        <w:numPr>
          <w:ilvl w:val="0"/>
          <w:numId w:val="35"/>
        </w:numPr>
        <w:jc w:val="both"/>
        <w:rPr>
          <w:rFonts w:ascii="Times New Roman" w:hAnsi="Times New Roman"/>
          <w:color w:val="000000"/>
          <w:sz w:val="24"/>
        </w:rPr>
      </w:pPr>
      <w:r>
        <w:rPr>
          <w:rFonts w:ascii="Times New Roman" w:hAnsi="Times New Roman"/>
          <w:color w:val="000000"/>
          <w:sz w:val="24"/>
        </w:rPr>
        <w:t>Az esélyegyenlőség sérülése esetén hivatalosan jelezzék azt a HEP IT kijelölt irányítóinak.</w:t>
      </w:r>
    </w:p>
    <w:p w:rsidR="00795A46" w:rsidRDefault="00795A46" w:rsidP="00795A46">
      <w:pPr>
        <w:pStyle w:val="Nincstrkz"/>
        <w:numPr>
          <w:ilvl w:val="0"/>
          <w:numId w:val="35"/>
        </w:numPr>
        <w:jc w:val="both"/>
        <w:rPr>
          <w:rFonts w:ascii="Times New Roman" w:hAnsi="Times New Roman"/>
          <w:color w:val="000000"/>
          <w:sz w:val="24"/>
        </w:rPr>
      </w:pPr>
      <w:r>
        <w:rPr>
          <w:rFonts w:ascii="Times New Roman" w:hAnsi="Times New Roman"/>
          <w:color w:val="000000"/>
          <w:sz w:val="24"/>
        </w:rPr>
        <w:t>Az önkormányzati intézmények vezetői intézményi akciótervben gondoskodjanak az Esélyegyenlőségi Programban foglaltaknak az intézményükben történő maradéktalan érvényesüléséről.</w:t>
      </w:r>
    </w:p>
    <w:p w:rsidR="00795A46" w:rsidRDefault="00795A46" w:rsidP="00795A46">
      <w:pPr>
        <w:pStyle w:val="Nincstrkz"/>
        <w:jc w:val="both"/>
        <w:rPr>
          <w:rFonts w:ascii="Times New Roman" w:hAnsi="Times New Roman"/>
          <w:color w:val="000000"/>
          <w:sz w:val="24"/>
        </w:rPr>
      </w:pPr>
      <w:r>
        <w:rPr>
          <w:rFonts w:ascii="Times New Roman" w:hAnsi="Times New Roman"/>
          <w:color w:val="000000"/>
          <w:sz w:val="24"/>
        </w:rPr>
        <w:t xml:space="preserve">Szükséges továbbá, hogy a jogszabály által előírt feladat-megosztás, együttműködési kötelezettség alapján a települési önkormányzattal kapcsolatban álló szereplők ismerjék a HEP-et, annak megvalósításában aktív szerepet vállaljanak. </w:t>
      </w:r>
    </w:p>
    <w:p w:rsidR="00795A46" w:rsidRDefault="00795A46" w:rsidP="00795A46">
      <w:pPr>
        <w:pStyle w:val="Nincstrkz"/>
        <w:jc w:val="both"/>
        <w:rPr>
          <w:rFonts w:ascii="Times New Roman" w:hAnsi="Times New Roman"/>
          <w:b/>
          <w:color w:val="000000"/>
          <w:sz w:val="24"/>
        </w:rPr>
      </w:pPr>
    </w:p>
    <w:p w:rsidR="00795A46" w:rsidRDefault="00795A46" w:rsidP="00795A46">
      <w:pPr>
        <w:pStyle w:val="Nincstrkz"/>
        <w:jc w:val="both"/>
        <w:rPr>
          <w:rFonts w:ascii="Times New Roman" w:hAnsi="Times New Roman"/>
          <w:b/>
          <w:color w:val="000000"/>
          <w:sz w:val="24"/>
        </w:rPr>
      </w:pPr>
    </w:p>
    <w:p w:rsidR="00795A46" w:rsidRDefault="00795A46" w:rsidP="00795A46">
      <w:pPr>
        <w:pStyle w:val="Nincstrkz"/>
        <w:jc w:val="both"/>
        <w:rPr>
          <w:rFonts w:ascii="Times New Roman" w:hAnsi="Times New Roman"/>
          <w:b/>
          <w:bCs/>
          <w:color w:val="000000"/>
          <w:sz w:val="24"/>
        </w:rPr>
      </w:pPr>
      <w:bookmarkStart w:id="168" w:name="_Toc79494642"/>
      <w:bookmarkStart w:id="169" w:name="_Toc214529854"/>
      <w:bookmarkStart w:id="170" w:name="_Toc212717016"/>
      <w:bookmarkStart w:id="171" w:name="_Toc212716899"/>
      <w:bookmarkStart w:id="172" w:name="_Toc212699641"/>
      <w:bookmarkStart w:id="173" w:name="_Toc212697746"/>
      <w:bookmarkStart w:id="174" w:name="_Toc212562054"/>
      <w:bookmarkStart w:id="175" w:name="_Toc212560430"/>
      <w:r>
        <w:rPr>
          <w:rFonts w:ascii="Times New Roman" w:hAnsi="Times New Roman"/>
          <w:b/>
          <w:bCs/>
          <w:color w:val="000000"/>
          <w:sz w:val="24"/>
        </w:rPr>
        <w:t>3.6 Érvényesülés, módosítás</w:t>
      </w:r>
      <w:bookmarkEnd w:id="168"/>
      <w:bookmarkEnd w:id="169"/>
      <w:bookmarkEnd w:id="170"/>
      <w:bookmarkEnd w:id="171"/>
      <w:bookmarkEnd w:id="172"/>
      <w:bookmarkEnd w:id="173"/>
      <w:bookmarkEnd w:id="174"/>
      <w:bookmarkEnd w:id="175"/>
    </w:p>
    <w:p w:rsidR="00795A46" w:rsidRDefault="00795A46" w:rsidP="00795A46">
      <w:pPr>
        <w:pStyle w:val="Nincstrkz"/>
        <w:jc w:val="both"/>
        <w:rPr>
          <w:rFonts w:ascii="Times New Roman" w:hAnsi="Times New Roman"/>
          <w:color w:val="000000"/>
          <w:sz w:val="24"/>
        </w:rPr>
      </w:pPr>
    </w:p>
    <w:p w:rsidR="00795A46" w:rsidRDefault="00795A46" w:rsidP="00795A46">
      <w:pPr>
        <w:pStyle w:val="Nincstrkz"/>
        <w:jc w:val="both"/>
        <w:rPr>
          <w:rFonts w:ascii="Times New Roman" w:hAnsi="Times New Roman"/>
          <w:color w:val="000000"/>
          <w:sz w:val="24"/>
        </w:rPr>
      </w:pPr>
    </w:p>
    <w:p w:rsidR="00795A46" w:rsidRDefault="00795A46" w:rsidP="00795A46">
      <w:pPr>
        <w:pStyle w:val="Nincstrkz"/>
        <w:jc w:val="both"/>
        <w:rPr>
          <w:rFonts w:ascii="Times New Roman" w:hAnsi="Times New Roman"/>
          <w:color w:val="000000"/>
          <w:sz w:val="24"/>
        </w:rPr>
      </w:pPr>
      <w:r>
        <w:rPr>
          <w:rFonts w:ascii="Times New Roman" w:hAnsi="Times New Roman"/>
          <w:color w:val="000000"/>
          <w:sz w:val="24"/>
        </w:rPr>
        <w:t xml:space="preserve">Amennyiben a </w:t>
      </w:r>
      <w:r>
        <w:rPr>
          <w:rFonts w:ascii="Times New Roman" w:hAnsi="Times New Roman"/>
          <w:b/>
          <w:color w:val="000000"/>
          <w:sz w:val="24"/>
        </w:rPr>
        <w:t>kétévente előírt</w:t>
      </w:r>
      <w:r>
        <w:rPr>
          <w:rFonts w:ascii="Times New Roman" w:hAnsi="Times New Roman"/>
          <w:color w:val="000000"/>
          <w:sz w:val="24"/>
        </w:rPr>
        <w:t xml:space="preserve"> – de ennél gyakrabban, pl. évente is elvégezhető - </w:t>
      </w:r>
      <w:r>
        <w:rPr>
          <w:rFonts w:ascii="Times New Roman" w:hAnsi="Times New Roman"/>
          <w:b/>
          <w:color w:val="000000"/>
          <w:sz w:val="24"/>
        </w:rPr>
        <w:t xml:space="preserve">felülvizsgálat </w:t>
      </w:r>
      <w:r>
        <w:rPr>
          <w:rFonts w:ascii="Times New Roman" w:hAnsi="Times New Roman"/>
          <w:color w:val="000000"/>
          <w:sz w:val="24"/>
        </w:rPr>
        <w:t xml:space="preserve">során kiderül, hogy a HEP IT-ben vállalt célokat nem sikerül teljesíteni, </w:t>
      </w:r>
      <w:r>
        <w:rPr>
          <w:rFonts w:ascii="Times New Roman" w:hAnsi="Times New Roman"/>
          <w:b/>
          <w:color w:val="000000"/>
          <w:sz w:val="24"/>
        </w:rPr>
        <w:t xml:space="preserve">a HEP Fórum megvitatja a beavatkozási tevékenységek korrekciójára, kiegészítésére vonatkozó intézkedési tervjavaslatát </w:t>
      </w:r>
      <w:r>
        <w:rPr>
          <w:rFonts w:ascii="Times New Roman" w:hAnsi="Times New Roman"/>
          <w:color w:val="000000"/>
          <w:sz w:val="24"/>
        </w:rPr>
        <w:t xml:space="preserve">annak érdekében, hogy a célok teljesíthetők legyenek. </w:t>
      </w:r>
    </w:p>
    <w:p w:rsidR="00795A46" w:rsidRDefault="00795A46" w:rsidP="00795A46">
      <w:pPr>
        <w:pStyle w:val="Nincstrkz"/>
        <w:jc w:val="both"/>
        <w:rPr>
          <w:rFonts w:ascii="Times New Roman" w:hAnsi="Times New Roman"/>
          <w:color w:val="000000"/>
          <w:sz w:val="24"/>
        </w:rPr>
      </w:pPr>
      <w:r>
        <w:rPr>
          <w:rFonts w:ascii="Times New Roman" w:hAnsi="Times New Roman"/>
          <w:color w:val="000000"/>
          <w:sz w:val="24"/>
        </w:rPr>
        <w:t>Az HEP IT-t mindenképp módosítani szükséges, ha megállapításaiban lényeges változás következik be, illetve amennyiben a tervezett beavatkozások nem elegendő módon járulnak hozzá a kitűzött célok megvalósításához.</w:t>
      </w:r>
    </w:p>
    <w:p w:rsidR="00795A46" w:rsidRDefault="00795A46" w:rsidP="00795A46">
      <w:pPr>
        <w:pStyle w:val="Nincstrkz"/>
        <w:jc w:val="both"/>
        <w:rPr>
          <w:rFonts w:ascii="Times New Roman" w:hAnsi="Times New Roman"/>
          <w:color w:val="000000"/>
          <w:sz w:val="24"/>
        </w:rPr>
      </w:pPr>
      <w:r>
        <w:rPr>
          <w:rFonts w:ascii="Times New Roman" w:hAnsi="Times New Roman"/>
          <w:color w:val="000000"/>
          <w:sz w:val="24"/>
        </w:rPr>
        <w:t>Az egyenlő bánásmód elvét sértő esetekben az HEP IT végrehajtásáért felelős személy megteszi a szükséges lépéseket, vizsgálatot kezdeményez, és intézkedik a jogsértés következményeinek elhárításáról.</w:t>
      </w:r>
    </w:p>
    <w:p w:rsidR="00795A46" w:rsidRDefault="00795A46" w:rsidP="00795A46">
      <w:pPr>
        <w:pStyle w:val="Nincstrkz"/>
        <w:jc w:val="both"/>
        <w:rPr>
          <w:rFonts w:ascii="Times New Roman" w:hAnsi="Times New Roman"/>
          <w:sz w:val="24"/>
          <w:szCs w:val="24"/>
        </w:rPr>
      </w:pPr>
    </w:p>
    <w:p w:rsidR="00795A46" w:rsidRDefault="00795A46" w:rsidP="00795A46">
      <w:pPr>
        <w:suppressAutoHyphens w:val="0"/>
        <w:jc w:val="left"/>
        <w:rPr>
          <w:rFonts w:ascii="Times New Roman" w:hAnsi="Times New Roman"/>
        </w:rPr>
        <w:sectPr w:rsidR="00795A46">
          <w:pgSz w:w="11906" w:h="16838"/>
          <w:pgMar w:top="1647" w:right="1417" w:bottom="1647" w:left="1417" w:header="1417" w:footer="1417" w:gutter="0"/>
          <w:cols w:space="708"/>
        </w:sectPr>
      </w:pPr>
    </w:p>
    <w:p w:rsidR="00795A46" w:rsidRDefault="00795A46" w:rsidP="00795A46">
      <w:pPr>
        <w:pStyle w:val="Cmsor3"/>
        <w:pageBreakBefore/>
        <w:rPr>
          <w:rFonts w:ascii="Times New Roman" w:hAnsi="Times New Roman"/>
          <w:szCs w:val="24"/>
        </w:rPr>
      </w:pPr>
      <w:bookmarkStart w:id="176" w:name="__RefHeading__293_1906745769"/>
      <w:bookmarkStart w:id="177" w:name="_Toc49500674"/>
      <w:bookmarkStart w:id="178" w:name="_Toc119566848"/>
      <w:bookmarkEnd w:id="176"/>
      <w:r>
        <w:rPr>
          <w:rFonts w:ascii="Times New Roman" w:hAnsi="Times New Roman"/>
          <w:szCs w:val="24"/>
        </w:rPr>
        <w:t>4. Elfogadás módja és dátuma</w:t>
      </w:r>
      <w:bookmarkEnd w:id="177"/>
      <w:bookmarkEnd w:id="178"/>
    </w:p>
    <w:p w:rsidR="00795A46" w:rsidRDefault="00795A46" w:rsidP="00795A46">
      <w:pPr>
        <w:pStyle w:val="Nincstrkz"/>
        <w:jc w:val="both"/>
        <w:rPr>
          <w:rFonts w:ascii="Times New Roman" w:hAnsi="Times New Roman"/>
          <w:sz w:val="24"/>
          <w:szCs w:val="24"/>
        </w:rPr>
      </w:pPr>
    </w:p>
    <w:p w:rsidR="00795A46" w:rsidRDefault="00795A46" w:rsidP="00795A46">
      <w:pPr>
        <w:rPr>
          <w:rFonts w:ascii="Times New Roman" w:hAnsi="Times New Roman"/>
          <w:sz w:val="24"/>
        </w:rPr>
      </w:pPr>
      <w:r>
        <w:rPr>
          <w:rFonts w:ascii="Times New Roman" w:hAnsi="Times New Roman"/>
          <w:sz w:val="24"/>
        </w:rPr>
        <w:t>I. Csorvás város Helyi Esélyegyenlőségi Programjának szakmai és társadalmi vitája megtörtént. Az itt született észrevételeket a megvitatást követően a HEP Intézkedési Tervébe beépítettük.</w:t>
      </w:r>
    </w:p>
    <w:p w:rsidR="00795A46" w:rsidRDefault="00795A46" w:rsidP="00795A46">
      <w:pP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II. Ezt követően Csorvás város képviselő-testülete a Helyi Esélyegyenlőségi Programot (melynek része az Intézkedési Terv) megvitatta és ……………….. (……………….) számú határozatával elfogadta.</w:t>
      </w:r>
    </w:p>
    <w:p w:rsidR="00795A46" w:rsidRDefault="00795A46" w:rsidP="00795A46">
      <w:pP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Mellékletek: </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számú Képviselő-testületi határozat.</w:t>
      </w:r>
    </w:p>
    <w:p w:rsidR="00795A46" w:rsidRDefault="00795A46" w:rsidP="00795A46">
      <w:pPr>
        <w:pStyle w:val="Cmsor2"/>
        <w:pBdr>
          <w:top w:val="none" w:sz="0" w:space="0" w:color="auto"/>
          <w:left w:val="none" w:sz="0" w:space="0" w:color="auto"/>
          <w:bottom w:val="none" w:sz="0" w:space="0" w:color="auto"/>
          <w:right w:val="none" w:sz="0" w:space="0" w:color="auto"/>
        </w:pBdr>
        <w:jc w:val="left"/>
        <w:rPr>
          <w:rFonts w:ascii="Times New Roman" w:hAnsi="Times New Roman"/>
        </w:rPr>
      </w:pPr>
    </w:p>
    <w:p w:rsidR="00795A46" w:rsidRDefault="00795A46" w:rsidP="00795A46">
      <w:pPr>
        <w:rPr>
          <w:rFonts w:ascii="Times New Roman" w:hAnsi="Times New Roman"/>
        </w:rPr>
      </w:pPr>
    </w:p>
    <w:p w:rsidR="00795A46" w:rsidRDefault="00795A46" w:rsidP="00795A46">
      <w:pPr>
        <w:rPr>
          <w:rFonts w:ascii="Times New Roman" w:hAnsi="Times New Roman"/>
        </w:rPr>
      </w:pPr>
    </w:p>
    <w:p w:rsidR="00795A46" w:rsidRDefault="00795A46" w:rsidP="00795A46">
      <w:pPr>
        <w:rPr>
          <w:rFonts w:ascii="Times New Roman" w:hAnsi="Times New Roman"/>
        </w:rPr>
      </w:pP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Csorvás, 2022. november 14.</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Baráth Lajos</w:t>
      </w:r>
    </w:p>
    <w:p w:rsidR="00795A46" w:rsidRDefault="00795A46" w:rsidP="00795A46">
      <w:pPr>
        <w:tabs>
          <w:tab w:val="center" w:pos="7713"/>
        </w:tabs>
        <w:rPr>
          <w:rFonts w:ascii="Times New Roman" w:hAnsi="Times New Roman"/>
          <w:sz w:val="24"/>
        </w:rPr>
      </w:pPr>
      <w:r>
        <w:rPr>
          <w:rFonts w:ascii="Times New Roman" w:hAnsi="Times New Roman"/>
          <w:sz w:val="24"/>
        </w:rPr>
        <w:tab/>
        <w:t>Polgármester</w:t>
      </w:r>
      <w:bookmarkStart w:id="179" w:name="kagy2"/>
      <w:bookmarkEnd w:id="179"/>
    </w:p>
    <w:p w:rsidR="000D7C48" w:rsidRDefault="000D7C48"/>
    <w:sectPr w:rsidR="000D7C48" w:rsidSect="00A94468">
      <w:headerReference w:type="even" r:id="rId63"/>
      <w:headerReference w:type="default" r:id="rId64"/>
      <w:footerReference w:type="even" r:id="rId65"/>
      <w:footerReference w:type="default" r:id="rId66"/>
      <w:headerReference w:type="first" r:id="rId67"/>
      <w:footerReference w:type="first" r:id="rId68"/>
      <w:pgSz w:w="11906" w:h="16838"/>
      <w:pgMar w:top="1366" w:right="1134" w:bottom="1366"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4468" w:rsidRDefault="00A94468" w:rsidP="00A94468">
      <w:r>
        <w:separator/>
      </w:r>
    </w:p>
  </w:endnote>
  <w:endnote w:type="continuationSeparator" w:id="0">
    <w:p w:rsidR="00A94468" w:rsidRDefault="00A94468" w:rsidP="00A94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1" w:usb1="08070000" w:usb2="00000010" w:usb3="00000000" w:csb0="00020000" w:csb1="00000000"/>
  </w:font>
  <w:font w:name="TimesNewRomanPS-ItalicMT">
    <w:altName w:val="Times New Roman"/>
    <w:charset w:val="EE"/>
    <w:family w:val="auto"/>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51965"/>
      <w:docPartObj>
        <w:docPartGallery w:val="Page Numbers (Bottom of Page)"/>
        <w:docPartUnique/>
      </w:docPartObj>
    </w:sdtPr>
    <w:sdtEndPr/>
    <w:sdtContent>
      <w:p w:rsidR="00073673" w:rsidRDefault="00073673">
        <w:pPr>
          <w:pStyle w:val="llb"/>
          <w:jc w:val="right"/>
        </w:pPr>
        <w:r>
          <w:fldChar w:fldCharType="begin"/>
        </w:r>
        <w:r>
          <w:instrText>PAGE   \* MERGEFORMAT</w:instrText>
        </w:r>
        <w:r>
          <w:fldChar w:fldCharType="separate"/>
        </w:r>
        <w:r w:rsidR="000B527A" w:rsidRPr="000B527A">
          <w:rPr>
            <w:noProof/>
            <w:lang w:val="hu-HU"/>
          </w:rPr>
          <w:t>132</w:t>
        </w:r>
        <w:r>
          <w:fldChar w:fldCharType="end"/>
        </w:r>
      </w:p>
    </w:sdtContent>
  </w:sdt>
  <w:p w:rsidR="00073673" w:rsidRDefault="00073673">
    <w:pPr>
      <w:pStyle w:val="ll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3FA" w:rsidRDefault="000B527A"/>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3FA" w:rsidRDefault="00073673">
    <w:pPr>
      <w:pStyle w:val="llb"/>
      <w:jc w:val="right"/>
    </w:pPr>
    <w:r>
      <w:fldChar w:fldCharType="begin"/>
    </w:r>
    <w:r>
      <w:instrText>PAGE   \* MERGEFORMAT</w:instrText>
    </w:r>
    <w:r>
      <w:fldChar w:fldCharType="separate"/>
    </w:r>
    <w:r w:rsidR="000B527A" w:rsidRPr="000B527A">
      <w:rPr>
        <w:noProof/>
        <w:lang w:val="hu-HU"/>
      </w:rPr>
      <w:t>168</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3FA" w:rsidRDefault="000B527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4468" w:rsidRDefault="00A94468" w:rsidP="00A94468">
      <w:r>
        <w:separator/>
      </w:r>
    </w:p>
  </w:footnote>
  <w:footnote w:type="continuationSeparator" w:id="0">
    <w:p w:rsidR="00A94468" w:rsidRDefault="00A94468" w:rsidP="00A94468">
      <w:r>
        <w:continuationSeparator/>
      </w:r>
    </w:p>
  </w:footnote>
  <w:footnote w:id="1">
    <w:p w:rsidR="00A94468" w:rsidRDefault="00A94468" w:rsidP="00A94468">
      <w:pPr>
        <w:pStyle w:val="Lbjegyzetszveg"/>
        <w:rPr>
          <w:sz w:val="18"/>
          <w:szCs w:val="18"/>
        </w:rPr>
      </w:pPr>
      <w:r>
        <w:rPr>
          <w:rStyle w:val="Lbjegyzet-karakterek"/>
          <w:rFonts w:ascii="Times New Roman" w:hAnsi="Times New Roman"/>
        </w:rPr>
        <w:footnoteRef/>
      </w:r>
      <w:r>
        <w:rPr>
          <w:sz w:val="18"/>
          <w:szCs w:val="18"/>
        </w:rPr>
        <w:t xml:space="preserve">Költségvetési koncepció, Gazdasági program, Szociális Szolgáltatástervezési koncepció, Településfejlesztési stratégia, Településrendezési terv, </w:t>
      </w:r>
      <w:r>
        <w:rPr>
          <w:bCs/>
          <w:sz w:val="18"/>
          <w:szCs w:val="18"/>
        </w:rPr>
        <w:t xml:space="preserve">Településszerkezeti terv, </w:t>
      </w:r>
      <w:r>
        <w:rPr>
          <w:sz w:val="18"/>
          <w:szCs w:val="18"/>
        </w:rPr>
        <w:t xml:space="preserve">Településfejlesztési koncepció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3FA" w:rsidRDefault="000B527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3FA" w:rsidRDefault="000B527A">
    <w:pPr>
      <w:pStyle w:val="lfej"/>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3FA" w:rsidRDefault="000B527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90" w:hanging="390"/>
      </w:pPr>
    </w:lvl>
    <w:lvl w:ilvl="1">
      <w:start w:val="1"/>
      <w:numFmt w:val="decimal"/>
      <w:pStyle w:val="Stlus1"/>
      <w:lvlText w:val="%1.%2."/>
      <w:lvlJc w:val="left"/>
      <w:pPr>
        <w:tabs>
          <w:tab w:val="num" w:pos="0"/>
        </w:tabs>
        <w:ind w:left="390" w:hanging="39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Wingdings"/>
      </w:rPr>
    </w:lvl>
  </w:abstractNum>
  <w:abstractNum w:abstractNumId="2" w15:restartNumberingAfterBreak="0">
    <w:nsid w:val="00000004"/>
    <w:multiLevelType w:val="multilevel"/>
    <w:tmpl w:val="A840238A"/>
    <w:name w:val="WW8Num4"/>
    <w:lvl w:ilvl="0">
      <w:start w:val="1"/>
      <w:numFmt w:val="bullet"/>
      <w:lvlText w:val="-"/>
      <w:lvlJc w:val="left"/>
      <w:pPr>
        <w:tabs>
          <w:tab w:val="num" w:pos="928"/>
        </w:tabs>
        <w:ind w:left="928" w:hanging="360"/>
      </w:pPr>
      <w:rPr>
        <w:rFonts w:ascii="Book Antiqua" w:eastAsia="Times New Roman" w:hAnsi="Book Antiqua" w:hint="default"/>
      </w:rPr>
    </w:lvl>
    <w:lvl w:ilvl="1">
      <w:start w:val="1"/>
      <w:numFmt w:val="bullet"/>
      <w:lvlText w:val="◦"/>
      <w:lvlJc w:val="left"/>
      <w:pPr>
        <w:tabs>
          <w:tab w:val="num" w:pos="1288"/>
        </w:tabs>
        <w:ind w:left="1288" w:hanging="360"/>
      </w:pPr>
      <w:rPr>
        <w:rFonts w:ascii="OpenSymbol" w:hAnsi="OpenSymbol" w:cs="OpenSymbol"/>
      </w:rPr>
    </w:lvl>
    <w:lvl w:ilvl="2">
      <w:start w:val="1"/>
      <w:numFmt w:val="bullet"/>
      <w:lvlText w:val="▪"/>
      <w:lvlJc w:val="left"/>
      <w:pPr>
        <w:tabs>
          <w:tab w:val="num" w:pos="1648"/>
        </w:tabs>
        <w:ind w:left="1648" w:hanging="360"/>
      </w:pPr>
      <w:rPr>
        <w:rFonts w:ascii="OpenSymbol" w:hAnsi="OpenSymbol" w:cs="OpenSymbol"/>
      </w:rPr>
    </w:lvl>
    <w:lvl w:ilvl="3">
      <w:start w:val="1"/>
      <w:numFmt w:val="bullet"/>
      <w:lvlText w:val=""/>
      <w:lvlJc w:val="left"/>
      <w:pPr>
        <w:tabs>
          <w:tab w:val="num" w:pos="2008"/>
        </w:tabs>
        <w:ind w:left="2008" w:hanging="360"/>
      </w:pPr>
      <w:rPr>
        <w:rFonts w:ascii="Wingdings 2" w:hAnsi="Wingdings 2" w:cs="Wingdings 2"/>
      </w:rPr>
    </w:lvl>
    <w:lvl w:ilvl="4">
      <w:start w:val="1"/>
      <w:numFmt w:val="bullet"/>
      <w:lvlText w:val="◦"/>
      <w:lvlJc w:val="left"/>
      <w:pPr>
        <w:tabs>
          <w:tab w:val="num" w:pos="2368"/>
        </w:tabs>
        <w:ind w:left="2368" w:hanging="360"/>
      </w:pPr>
      <w:rPr>
        <w:rFonts w:ascii="OpenSymbol" w:hAnsi="OpenSymbol" w:cs="OpenSymbol"/>
      </w:rPr>
    </w:lvl>
    <w:lvl w:ilvl="5">
      <w:start w:val="1"/>
      <w:numFmt w:val="bullet"/>
      <w:lvlText w:val="▪"/>
      <w:lvlJc w:val="left"/>
      <w:pPr>
        <w:tabs>
          <w:tab w:val="num" w:pos="2728"/>
        </w:tabs>
        <w:ind w:left="2728" w:hanging="360"/>
      </w:pPr>
      <w:rPr>
        <w:rFonts w:ascii="OpenSymbol" w:hAnsi="OpenSymbol" w:cs="OpenSymbol"/>
      </w:rPr>
    </w:lvl>
    <w:lvl w:ilvl="6">
      <w:start w:val="1"/>
      <w:numFmt w:val="bullet"/>
      <w:lvlText w:val=""/>
      <w:lvlJc w:val="left"/>
      <w:pPr>
        <w:tabs>
          <w:tab w:val="num" w:pos="3088"/>
        </w:tabs>
        <w:ind w:left="3088" w:hanging="360"/>
      </w:pPr>
      <w:rPr>
        <w:rFonts w:ascii="Wingdings 2" w:hAnsi="Wingdings 2" w:cs="Wingdings 2"/>
      </w:rPr>
    </w:lvl>
    <w:lvl w:ilvl="7">
      <w:start w:val="1"/>
      <w:numFmt w:val="bullet"/>
      <w:lvlText w:val="◦"/>
      <w:lvlJc w:val="left"/>
      <w:pPr>
        <w:tabs>
          <w:tab w:val="num" w:pos="3448"/>
        </w:tabs>
        <w:ind w:left="3448" w:hanging="360"/>
      </w:pPr>
      <w:rPr>
        <w:rFonts w:ascii="OpenSymbol" w:hAnsi="OpenSymbol" w:cs="OpenSymbol"/>
      </w:rPr>
    </w:lvl>
    <w:lvl w:ilvl="8">
      <w:start w:val="1"/>
      <w:numFmt w:val="bullet"/>
      <w:lvlText w:val="▪"/>
      <w:lvlJc w:val="left"/>
      <w:pPr>
        <w:tabs>
          <w:tab w:val="num" w:pos="3808"/>
        </w:tabs>
        <w:ind w:left="3808" w:hanging="360"/>
      </w:pPr>
      <w:rPr>
        <w:rFonts w:ascii="OpenSymbol" w:hAnsi="OpenSymbol" w:cs="OpenSymbol"/>
      </w:rPr>
    </w:lvl>
  </w:abstractNum>
  <w:abstractNum w:abstractNumId="3" w15:restartNumberingAfterBreak="0">
    <w:nsid w:val="00000006"/>
    <w:multiLevelType w:val="multilevel"/>
    <w:tmpl w:val="00000006"/>
    <w:name w:val="WW8Num6"/>
    <w:lvl w:ilvl="0">
      <w:start w:val="1"/>
      <w:numFmt w:val="decimal"/>
      <w:lvlText w:val="%1"/>
      <w:lvlJc w:val="left"/>
      <w:pPr>
        <w:tabs>
          <w:tab w:val="num" w:pos="360"/>
        </w:tabs>
        <w:ind w:left="360" w:hanging="360"/>
      </w:pPr>
    </w:lvl>
    <w:lvl w:ilvl="1">
      <w:start w:val="1"/>
      <w:numFmt w:val="decimal"/>
      <w:lvlText w:val="%1.%2"/>
      <w:lvlJc w:val="left"/>
      <w:pPr>
        <w:tabs>
          <w:tab w:val="num" w:pos="502"/>
        </w:tabs>
        <w:ind w:left="502" w:hanging="360"/>
      </w:pPr>
    </w:lvl>
    <w:lvl w:ilvl="2">
      <w:start w:val="1"/>
      <w:numFmt w:val="decimal"/>
      <w:lvlText w:val="%1.%2.%3"/>
      <w:lvlJc w:val="left"/>
      <w:pPr>
        <w:tabs>
          <w:tab w:val="num" w:pos="1004"/>
        </w:tabs>
        <w:ind w:left="1004" w:hanging="720"/>
      </w:pPr>
    </w:lvl>
    <w:lvl w:ilvl="3">
      <w:start w:val="1"/>
      <w:numFmt w:val="decimal"/>
      <w:lvlText w:val="%1.%2.%3.%4"/>
      <w:lvlJc w:val="left"/>
      <w:pPr>
        <w:tabs>
          <w:tab w:val="num" w:pos="1146"/>
        </w:tabs>
        <w:ind w:left="1146" w:hanging="720"/>
      </w:pPr>
    </w:lvl>
    <w:lvl w:ilvl="4">
      <w:start w:val="1"/>
      <w:numFmt w:val="decimal"/>
      <w:lvlText w:val="%1.%2.%3.%4.%5"/>
      <w:lvlJc w:val="left"/>
      <w:pPr>
        <w:tabs>
          <w:tab w:val="num" w:pos="1648"/>
        </w:tabs>
        <w:ind w:left="1648" w:hanging="1080"/>
      </w:pPr>
    </w:lvl>
    <w:lvl w:ilvl="5">
      <w:start w:val="1"/>
      <w:numFmt w:val="decimal"/>
      <w:lvlText w:val="%1.%2.%3.%4.%5.%6"/>
      <w:lvlJc w:val="left"/>
      <w:pPr>
        <w:tabs>
          <w:tab w:val="num" w:pos="1790"/>
        </w:tabs>
        <w:ind w:left="1790" w:hanging="1080"/>
      </w:pPr>
    </w:lvl>
    <w:lvl w:ilvl="6">
      <w:start w:val="1"/>
      <w:numFmt w:val="decimal"/>
      <w:lvlText w:val="%1.%2.%3.%4.%5.%6.%7"/>
      <w:lvlJc w:val="left"/>
      <w:pPr>
        <w:tabs>
          <w:tab w:val="num" w:pos="2292"/>
        </w:tabs>
        <w:ind w:left="2292" w:hanging="1440"/>
      </w:pPr>
    </w:lvl>
    <w:lvl w:ilvl="7">
      <w:start w:val="1"/>
      <w:numFmt w:val="decimal"/>
      <w:lvlText w:val="%1.%2.%3.%4.%5.%6.%7.%8"/>
      <w:lvlJc w:val="left"/>
      <w:pPr>
        <w:tabs>
          <w:tab w:val="num" w:pos="2434"/>
        </w:tabs>
        <w:ind w:left="2434" w:hanging="1440"/>
      </w:pPr>
    </w:lvl>
    <w:lvl w:ilvl="8">
      <w:start w:val="1"/>
      <w:numFmt w:val="decimal"/>
      <w:lvlText w:val="%1.%2.%3.%4.%5.%6.%7.%8.%9"/>
      <w:lvlJc w:val="left"/>
      <w:pPr>
        <w:tabs>
          <w:tab w:val="num" w:pos="2576"/>
        </w:tabs>
        <w:ind w:left="2576" w:hanging="1440"/>
      </w:pPr>
    </w:lvl>
  </w:abstractNum>
  <w:abstractNum w:abstractNumId="4"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Wingdings" w:hAnsi="Wingdings" w:cs="OpenSymbol"/>
      </w:rPr>
    </w:lvl>
  </w:abstractNum>
  <w:abstractNum w:abstractNumId="5" w15:restartNumberingAfterBreak="0">
    <w:nsid w:val="00000008"/>
    <w:multiLevelType w:val="multilevel"/>
    <w:tmpl w:val="00000008"/>
    <w:name w:val="WW8Num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Wingdings" w:hAnsi="Wingdings"/>
        <w:sz w:val="24"/>
        <w:szCs w:val="24"/>
      </w:rPr>
    </w:lvl>
  </w:abstractNum>
  <w:abstractNum w:abstractNumId="7"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Wingdings" w:hAnsi="Wingdings" w:cs="Wingdings"/>
      </w:rPr>
    </w:lvl>
  </w:abstractNum>
  <w:abstractNum w:abstractNumId="8"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Wingdings" w:hAnsi="Wingdings" w:cs="Wingdings"/>
      </w:rPr>
    </w:lvl>
  </w:abstractNum>
  <w:abstractNum w:abstractNumId="9"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Wingdings" w:hAnsi="Wingdings" w:cs="Wingdings"/>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000000D"/>
    <w:multiLevelType w:val="singleLevel"/>
    <w:tmpl w:val="0000000D"/>
    <w:name w:val="WW8Num13"/>
    <w:lvl w:ilvl="0">
      <w:start w:val="1"/>
      <w:numFmt w:val="bullet"/>
      <w:lvlText w:val=""/>
      <w:lvlJc w:val="left"/>
      <w:pPr>
        <w:tabs>
          <w:tab w:val="num" w:pos="862"/>
        </w:tabs>
        <w:ind w:left="862" w:hanging="360"/>
      </w:pPr>
      <w:rPr>
        <w:rFonts w:ascii="Symbol" w:hAnsi="Symbol" w:cs="Symbol"/>
      </w:rPr>
    </w:lvl>
  </w:abstractNum>
  <w:abstractNum w:abstractNumId="11" w15:restartNumberingAfterBreak="0">
    <w:nsid w:val="0000000E"/>
    <w:multiLevelType w:val="singleLevel"/>
    <w:tmpl w:val="0000000E"/>
    <w:name w:val="WW8Num14"/>
    <w:lvl w:ilvl="0">
      <w:start w:val="1"/>
      <w:numFmt w:val="bullet"/>
      <w:lvlText w:val=""/>
      <w:lvlJc w:val="left"/>
      <w:pPr>
        <w:tabs>
          <w:tab w:val="num" w:pos="862"/>
        </w:tabs>
        <w:ind w:left="862" w:hanging="360"/>
      </w:pPr>
      <w:rPr>
        <w:rFonts w:ascii="Symbol" w:hAnsi="Symbol" w:cs="Symbol"/>
        <w:sz w:val="24"/>
        <w:szCs w:val="24"/>
      </w:rPr>
    </w:lvl>
  </w:abstractNum>
  <w:abstractNum w:abstractNumId="12" w15:restartNumberingAfterBreak="0">
    <w:nsid w:val="0000000F"/>
    <w:multiLevelType w:val="multilevel"/>
    <w:tmpl w:val="0000000F"/>
    <w:name w:val="WW8Num15"/>
    <w:lvl w:ilvl="0">
      <w:start w:val="10"/>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3"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4" w15:restartNumberingAfterBreak="0">
    <w:nsid w:val="00000011"/>
    <w:multiLevelType w:val="singleLevel"/>
    <w:tmpl w:val="00000011"/>
    <w:name w:val="WW8Num17"/>
    <w:lvl w:ilvl="0">
      <w:start w:val="1"/>
      <w:numFmt w:val="bullet"/>
      <w:lvlText w:val=""/>
      <w:lvlJc w:val="left"/>
      <w:pPr>
        <w:tabs>
          <w:tab w:val="num" w:pos="720"/>
        </w:tabs>
        <w:ind w:left="720" w:hanging="360"/>
      </w:pPr>
      <w:rPr>
        <w:rFonts w:ascii="Wingdings" w:hAnsi="Wingdings" w:cs="Wingdings"/>
      </w:rPr>
    </w:lvl>
  </w:abstractNum>
  <w:abstractNum w:abstractNumId="15" w15:restartNumberingAfterBreak="0">
    <w:nsid w:val="00000012"/>
    <w:multiLevelType w:val="singleLevel"/>
    <w:tmpl w:val="00000012"/>
    <w:name w:val="WW8Num18"/>
    <w:lvl w:ilvl="0">
      <w:start w:val="1"/>
      <w:numFmt w:val="bullet"/>
      <w:lvlText w:val=""/>
      <w:lvlJc w:val="left"/>
      <w:pPr>
        <w:tabs>
          <w:tab w:val="num" w:pos="720"/>
        </w:tabs>
        <w:ind w:left="720" w:hanging="360"/>
      </w:pPr>
      <w:rPr>
        <w:rFonts w:ascii="Wingdings" w:hAnsi="Wingdings" w:cs="Wingdings"/>
      </w:rPr>
    </w:lvl>
  </w:abstractNum>
  <w:abstractNum w:abstractNumId="16" w15:restartNumberingAfterBreak="0">
    <w:nsid w:val="00000013"/>
    <w:multiLevelType w:val="multilevel"/>
    <w:tmpl w:val="00000013"/>
    <w:name w:val="WW8Num19"/>
    <w:lvl w:ilvl="0">
      <w:start w:val="100"/>
      <w:numFmt w:val="low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18" w15:restartNumberingAfterBreak="0">
    <w:nsid w:val="03615C83"/>
    <w:multiLevelType w:val="hybridMultilevel"/>
    <w:tmpl w:val="8CB8D72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9" w15:restartNumberingAfterBreak="0">
    <w:nsid w:val="08717BBD"/>
    <w:multiLevelType w:val="hybridMultilevel"/>
    <w:tmpl w:val="A2DC781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0" w15:restartNumberingAfterBreak="0">
    <w:nsid w:val="08F553DB"/>
    <w:multiLevelType w:val="hybridMultilevel"/>
    <w:tmpl w:val="8190FE3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39C0C37"/>
    <w:multiLevelType w:val="hybridMultilevel"/>
    <w:tmpl w:val="B75CB96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2" w15:restartNumberingAfterBreak="0">
    <w:nsid w:val="15A91D9C"/>
    <w:multiLevelType w:val="hybridMultilevel"/>
    <w:tmpl w:val="640E089A"/>
    <w:lvl w:ilvl="0" w:tplc="EE0249FA">
      <w:start w:val="1"/>
      <w:numFmt w:val="lowerLetter"/>
      <w:lvlText w:val="%1)"/>
      <w:lvlJc w:val="left"/>
      <w:pPr>
        <w:tabs>
          <w:tab w:val="num" w:pos="355"/>
        </w:tabs>
        <w:ind w:left="355" w:hanging="360"/>
      </w:pPr>
    </w:lvl>
    <w:lvl w:ilvl="1" w:tplc="040E0019">
      <w:start w:val="1"/>
      <w:numFmt w:val="lowerLetter"/>
      <w:lvlText w:val="%2."/>
      <w:lvlJc w:val="left"/>
      <w:pPr>
        <w:tabs>
          <w:tab w:val="num" w:pos="1075"/>
        </w:tabs>
        <w:ind w:left="1075" w:hanging="360"/>
      </w:pPr>
    </w:lvl>
    <w:lvl w:ilvl="2" w:tplc="040E001B">
      <w:start w:val="1"/>
      <w:numFmt w:val="lowerRoman"/>
      <w:lvlText w:val="%3."/>
      <w:lvlJc w:val="right"/>
      <w:pPr>
        <w:tabs>
          <w:tab w:val="num" w:pos="1795"/>
        </w:tabs>
        <w:ind w:left="1795" w:hanging="180"/>
      </w:pPr>
    </w:lvl>
    <w:lvl w:ilvl="3" w:tplc="040E000F">
      <w:start w:val="1"/>
      <w:numFmt w:val="decimal"/>
      <w:lvlText w:val="%4."/>
      <w:lvlJc w:val="left"/>
      <w:pPr>
        <w:tabs>
          <w:tab w:val="num" w:pos="2515"/>
        </w:tabs>
        <w:ind w:left="2515" w:hanging="360"/>
      </w:pPr>
    </w:lvl>
    <w:lvl w:ilvl="4" w:tplc="040E0019">
      <w:start w:val="1"/>
      <w:numFmt w:val="lowerLetter"/>
      <w:lvlText w:val="%5."/>
      <w:lvlJc w:val="left"/>
      <w:pPr>
        <w:tabs>
          <w:tab w:val="num" w:pos="3235"/>
        </w:tabs>
        <w:ind w:left="3235" w:hanging="360"/>
      </w:pPr>
    </w:lvl>
    <w:lvl w:ilvl="5" w:tplc="040E001B">
      <w:start w:val="1"/>
      <w:numFmt w:val="lowerRoman"/>
      <w:lvlText w:val="%6."/>
      <w:lvlJc w:val="right"/>
      <w:pPr>
        <w:tabs>
          <w:tab w:val="num" w:pos="3955"/>
        </w:tabs>
        <w:ind w:left="3955" w:hanging="180"/>
      </w:pPr>
    </w:lvl>
    <w:lvl w:ilvl="6" w:tplc="040E000F">
      <w:start w:val="1"/>
      <w:numFmt w:val="decimal"/>
      <w:lvlText w:val="%7."/>
      <w:lvlJc w:val="left"/>
      <w:pPr>
        <w:tabs>
          <w:tab w:val="num" w:pos="4675"/>
        </w:tabs>
        <w:ind w:left="4675" w:hanging="360"/>
      </w:pPr>
    </w:lvl>
    <w:lvl w:ilvl="7" w:tplc="040E0019">
      <w:start w:val="1"/>
      <w:numFmt w:val="lowerLetter"/>
      <w:lvlText w:val="%8."/>
      <w:lvlJc w:val="left"/>
      <w:pPr>
        <w:tabs>
          <w:tab w:val="num" w:pos="5395"/>
        </w:tabs>
        <w:ind w:left="5395" w:hanging="360"/>
      </w:pPr>
    </w:lvl>
    <w:lvl w:ilvl="8" w:tplc="040E001B">
      <w:start w:val="1"/>
      <w:numFmt w:val="lowerRoman"/>
      <w:lvlText w:val="%9."/>
      <w:lvlJc w:val="right"/>
      <w:pPr>
        <w:tabs>
          <w:tab w:val="num" w:pos="6115"/>
        </w:tabs>
        <w:ind w:left="6115" w:hanging="180"/>
      </w:pPr>
    </w:lvl>
  </w:abstractNum>
  <w:abstractNum w:abstractNumId="23" w15:restartNumberingAfterBreak="0">
    <w:nsid w:val="1E1C53C6"/>
    <w:multiLevelType w:val="hybridMultilevel"/>
    <w:tmpl w:val="01160284"/>
    <w:lvl w:ilvl="0" w:tplc="040E000F">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4" w15:restartNumberingAfterBreak="0">
    <w:nsid w:val="1FEC6856"/>
    <w:multiLevelType w:val="hybridMultilevel"/>
    <w:tmpl w:val="573639B6"/>
    <w:lvl w:ilvl="0" w:tplc="040E0017">
      <w:start w:val="1"/>
      <w:numFmt w:val="lowerLetter"/>
      <w:lvlText w:val="%1)"/>
      <w:lvlJc w:val="left"/>
      <w:pPr>
        <w:ind w:left="502" w:hanging="360"/>
      </w:pPr>
      <w:rPr>
        <w:i/>
        <w:iCs/>
      </w:rPr>
    </w:lvl>
    <w:lvl w:ilvl="1" w:tplc="040E0019">
      <w:start w:val="1"/>
      <w:numFmt w:val="lowerLetter"/>
      <w:lvlText w:val="%2."/>
      <w:lvlJc w:val="left"/>
      <w:pPr>
        <w:ind w:left="1222" w:hanging="360"/>
      </w:pPr>
    </w:lvl>
    <w:lvl w:ilvl="2" w:tplc="040E001B">
      <w:start w:val="1"/>
      <w:numFmt w:val="lowerRoman"/>
      <w:lvlText w:val="%3."/>
      <w:lvlJc w:val="right"/>
      <w:pPr>
        <w:ind w:left="1942" w:hanging="180"/>
      </w:pPr>
    </w:lvl>
    <w:lvl w:ilvl="3" w:tplc="040E000F">
      <w:start w:val="1"/>
      <w:numFmt w:val="decimal"/>
      <w:lvlText w:val="%4."/>
      <w:lvlJc w:val="left"/>
      <w:pPr>
        <w:ind w:left="2662" w:hanging="360"/>
      </w:pPr>
    </w:lvl>
    <w:lvl w:ilvl="4" w:tplc="040E0019">
      <w:start w:val="1"/>
      <w:numFmt w:val="lowerLetter"/>
      <w:lvlText w:val="%5."/>
      <w:lvlJc w:val="left"/>
      <w:pPr>
        <w:ind w:left="3382" w:hanging="360"/>
      </w:pPr>
    </w:lvl>
    <w:lvl w:ilvl="5" w:tplc="040E001B">
      <w:start w:val="1"/>
      <w:numFmt w:val="lowerRoman"/>
      <w:lvlText w:val="%6."/>
      <w:lvlJc w:val="right"/>
      <w:pPr>
        <w:ind w:left="4102" w:hanging="180"/>
      </w:pPr>
    </w:lvl>
    <w:lvl w:ilvl="6" w:tplc="040E000F">
      <w:start w:val="1"/>
      <w:numFmt w:val="decimal"/>
      <w:lvlText w:val="%7."/>
      <w:lvlJc w:val="left"/>
      <w:pPr>
        <w:ind w:left="4822" w:hanging="360"/>
      </w:pPr>
    </w:lvl>
    <w:lvl w:ilvl="7" w:tplc="040E0019">
      <w:start w:val="1"/>
      <w:numFmt w:val="lowerLetter"/>
      <w:lvlText w:val="%8."/>
      <w:lvlJc w:val="left"/>
      <w:pPr>
        <w:ind w:left="5542" w:hanging="360"/>
      </w:pPr>
    </w:lvl>
    <w:lvl w:ilvl="8" w:tplc="040E001B">
      <w:start w:val="1"/>
      <w:numFmt w:val="lowerRoman"/>
      <w:lvlText w:val="%9."/>
      <w:lvlJc w:val="right"/>
      <w:pPr>
        <w:ind w:left="6262" w:hanging="180"/>
      </w:pPr>
    </w:lvl>
  </w:abstractNum>
  <w:abstractNum w:abstractNumId="25" w15:restartNumberingAfterBreak="0">
    <w:nsid w:val="252F2AD3"/>
    <w:multiLevelType w:val="hybridMultilevel"/>
    <w:tmpl w:val="48E615B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A400474"/>
    <w:multiLevelType w:val="hybridMultilevel"/>
    <w:tmpl w:val="ACA254B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7" w15:restartNumberingAfterBreak="0">
    <w:nsid w:val="2F370E43"/>
    <w:multiLevelType w:val="hybridMultilevel"/>
    <w:tmpl w:val="A56A465A"/>
    <w:lvl w:ilvl="0" w:tplc="2C24AF86">
      <w:start w:val="5"/>
      <w:numFmt w:val="lowerLetter"/>
      <w:lvlText w:val="%1)"/>
      <w:lvlJc w:val="left"/>
      <w:pPr>
        <w:ind w:left="502" w:hanging="360"/>
      </w:pPr>
      <w:rPr>
        <w:i/>
        <w:iCs/>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8" w15:restartNumberingAfterBreak="0">
    <w:nsid w:val="3BC073E7"/>
    <w:multiLevelType w:val="hybridMultilevel"/>
    <w:tmpl w:val="2124E2C2"/>
    <w:lvl w:ilvl="0" w:tplc="2FB24652">
      <w:start w:val="1"/>
      <w:numFmt w:val="lowerLetter"/>
      <w:lvlText w:val="%1)"/>
      <w:lvlJc w:val="left"/>
      <w:pPr>
        <w:ind w:left="720" w:hanging="360"/>
      </w:pPr>
      <w:rPr>
        <w:i/>
        <w:iCs/>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9" w15:restartNumberingAfterBreak="0">
    <w:nsid w:val="563D32FA"/>
    <w:multiLevelType w:val="hybridMultilevel"/>
    <w:tmpl w:val="18AC0412"/>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0" w15:restartNumberingAfterBreak="0">
    <w:nsid w:val="594C1115"/>
    <w:multiLevelType w:val="hybridMultilevel"/>
    <w:tmpl w:val="07B05574"/>
    <w:lvl w:ilvl="0" w:tplc="B26209FA">
      <w:start w:val="1"/>
      <w:numFmt w:val="lowerLetter"/>
      <w:lvlText w:val="%1)"/>
      <w:lvlJc w:val="left"/>
      <w:pPr>
        <w:tabs>
          <w:tab w:val="num" w:pos="355"/>
        </w:tabs>
        <w:ind w:left="355" w:hanging="360"/>
      </w:pPr>
      <w:rPr>
        <w:b/>
        <w:bCs/>
      </w:rPr>
    </w:lvl>
    <w:lvl w:ilvl="1" w:tplc="22289C8E">
      <w:start w:val="2"/>
      <w:numFmt w:val="decimal"/>
      <w:lvlText w:val="(%2)"/>
      <w:lvlJc w:val="left"/>
      <w:pPr>
        <w:tabs>
          <w:tab w:val="num" w:pos="1075"/>
        </w:tabs>
        <w:ind w:left="1075" w:hanging="360"/>
      </w:pPr>
    </w:lvl>
    <w:lvl w:ilvl="2" w:tplc="040E001B">
      <w:start w:val="1"/>
      <w:numFmt w:val="lowerRoman"/>
      <w:lvlText w:val="%3."/>
      <w:lvlJc w:val="right"/>
      <w:pPr>
        <w:tabs>
          <w:tab w:val="num" w:pos="1795"/>
        </w:tabs>
        <w:ind w:left="1795" w:hanging="180"/>
      </w:pPr>
    </w:lvl>
    <w:lvl w:ilvl="3" w:tplc="040E000F">
      <w:start w:val="1"/>
      <w:numFmt w:val="decimal"/>
      <w:lvlText w:val="%4."/>
      <w:lvlJc w:val="left"/>
      <w:pPr>
        <w:tabs>
          <w:tab w:val="num" w:pos="2515"/>
        </w:tabs>
        <w:ind w:left="2515" w:hanging="360"/>
      </w:pPr>
    </w:lvl>
    <w:lvl w:ilvl="4" w:tplc="040E0019">
      <w:start w:val="1"/>
      <w:numFmt w:val="lowerLetter"/>
      <w:lvlText w:val="%5."/>
      <w:lvlJc w:val="left"/>
      <w:pPr>
        <w:tabs>
          <w:tab w:val="num" w:pos="3235"/>
        </w:tabs>
        <w:ind w:left="3235" w:hanging="360"/>
      </w:pPr>
    </w:lvl>
    <w:lvl w:ilvl="5" w:tplc="040E001B">
      <w:start w:val="1"/>
      <w:numFmt w:val="lowerRoman"/>
      <w:lvlText w:val="%6."/>
      <w:lvlJc w:val="right"/>
      <w:pPr>
        <w:tabs>
          <w:tab w:val="num" w:pos="3955"/>
        </w:tabs>
        <w:ind w:left="3955" w:hanging="180"/>
      </w:pPr>
    </w:lvl>
    <w:lvl w:ilvl="6" w:tplc="040E000F">
      <w:start w:val="1"/>
      <w:numFmt w:val="decimal"/>
      <w:lvlText w:val="%7."/>
      <w:lvlJc w:val="left"/>
      <w:pPr>
        <w:tabs>
          <w:tab w:val="num" w:pos="4675"/>
        </w:tabs>
        <w:ind w:left="4675" w:hanging="360"/>
      </w:pPr>
    </w:lvl>
    <w:lvl w:ilvl="7" w:tplc="040E0019">
      <w:start w:val="1"/>
      <w:numFmt w:val="lowerLetter"/>
      <w:lvlText w:val="%8."/>
      <w:lvlJc w:val="left"/>
      <w:pPr>
        <w:tabs>
          <w:tab w:val="num" w:pos="5395"/>
        </w:tabs>
        <w:ind w:left="5395" w:hanging="360"/>
      </w:pPr>
    </w:lvl>
    <w:lvl w:ilvl="8" w:tplc="040E001B">
      <w:start w:val="1"/>
      <w:numFmt w:val="lowerRoman"/>
      <w:lvlText w:val="%9."/>
      <w:lvlJc w:val="right"/>
      <w:pPr>
        <w:tabs>
          <w:tab w:val="num" w:pos="6115"/>
        </w:tabs>
        <w:ind w:left="6115" w:hanging="180"/>
      </w:pPr>
    </w:lvl>
  </w:abstractNum>
  <w:abstractNum w:abstractNumId="31" w15:restartNumberingAfterBreak="0">
    <w:nsid w:val="59502092"/>
    <w:multiLevelType w:val="hybridMultilevel"/>
    <w:tmpl w:val="8968D3F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20A6B1D"/>
    <w:multiLevelType w:val="hybridMultilevel"/>
    <w:tmpl w:val="6688CABA"/>
    <w:lvl w:ilvl="0" w:tplc="D9B811F0">
      <w:start w:val="47"/>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33" w15:restartNumberingAfterBreak="0">
    <w:nsid w:val="6AE5336F"/>
    <w:multiLevelType w:val="hybridMultilevel"/>
    <w:tmpl w:val="701C40B6"/>
    <w:lvl w:ilvl="0" w:tplc="040E0017">
      <w:start w:val="9"/>
      <w:numFmt w:val="lowerLetter"/>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4" w15:restartNumberingAfterBreak="0">
    <w:nsid w:val="6D90001B"/>
    <w:multiLevelType w:val="hybridMultilevel"/>
    <w:tmpl w:val="96DE59C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0F017F"/>
    <w:multiLevelType w:val="hybridMultilevel"/>
    <w:tmpl w:val="923ED91A"/>
    <w:lvl w:ilvl="0" w:tplc="5BF431B4">
      <w:start w:val="3"/>
      <w:numFmt w:val="lowerLetter"/>
      <w:lvlText w:val="%1)"/>
      <w:lvlJc w:val="left"/>
      <w:pPr>
        <w:ind w:left="502" w:hanging="360"/>
      </w:pPr>
      <w:rPr>
        <w:b/>
        <w:bCs/>
        <w:i/>
        <w:iCs/>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6" w15:restartNumberingAfterBreak="0">
    <w:nsid w:val="721A0E6C"/>
    <w:multiLevelType w:val="hybridMultilevel"/>
    <w:tmpl w:val="DEC81838"/>
    <w:lvl w:ilvl="0" w:tplc="9C9C8C04">
      <w:start w:val="10"/>
      <w:numFmt w:val="bullet"/>
      <w:lvlText w:val="-"/>
      <w:lvlJc w:val="left"/>
      <w:pPr>
        <w:ind w:left="720" w:hanging="360"/>
      </w:pPr>
      <w:rPr>
        <w:rFonts w:ascii="Arial" w:eastAsia="Times New Roman"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7" w15:restartNumberingAfterBreak="0">
    <w:nsid w:val="7352593C"/>
    <w:multiLevelType w:val="hybridMultilevel"/>
    <w:tmpl w:val="F622339E"/>
    <w:lvl w:ilvl="0" w:tplc="6756EAE6">
      <w:start w:val="1"/>
      <w:numFmt w:val="lowerLetter"/>
      <w:lvlText w:val="%1)"/>
      <w:lvlJc w:val="left"/>
      <w:pPr>
        <w:ind w:left="720" w:hanging="360"/>
      </w:pPr>
      <w:rPr>
        <w:b/>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8" w15:restartNumberingAfterBreak="0">
    <w:nsid w:val="7493790E"/>
    <w:multiLevelType w:val="hybridMultilevel"/>
    <w:tmpl w:val="8C866A4A"/>
    <w:lvl w:ilvl="0" w:tplc="BE98823A">
      <w:start w:val="2013"/>
      <w:numFmt w:val="bullet"/>
      <w:lvlText w:val="-"/>
      <w:lvlJc w:val="left"/>
      <w:pPr>
        <w:ind w:left="1080" w:hanging="360"/>
      </w:pPr>
      <w:rPr>
        <w:rFonts w:ascii="Times New Roman" w:eastAsia="Times New Roman" w:hAnsi="Times New Roman" w:cs="Times New Roman" w:hint="default"/>
      </w:rPr>
    </w:lvl>
    <w:lvl w:ilvl="1" w:tplc="040E0003">
      <w:start w:val="1"/>
      <w:numFmt w:val="bullet"/>
      <w:lvlText w:val="o"/>
      <w:lvlJc w:val="left"/>
      <w:pPr>
        <w:ind w:left="1800" w:hanging="360"/>
      </w:pPr>
      <w:rPr>
        <w:rFonts w:ascii="Courier New" w:hAnsi="Courier New" w:cs="Courier New" w:hint="default"/>
      </w:rPr>
    </w:lvl>
    <w:lvl w:ilvl="2" w:tplc="040E0005">
      <w:start w:val="1"/>
      <w:numFmt w:val="bullet"/>
      <w:lvlText w:val=""/>
      <w:lvlJc w:val="left"/>
      <w:pPr>
        <w:ind w:left="2520" w:hanging="360"/>
      </w:pPr>
      <w:rPr>
        <w:rFonts w:ascii="Wingdings" w:hAnsi="Wingdings" w:cs="Wingdings" w:hint="default"/>
      </w:rPr>
    </w:lvl>
    <w:lvl w:ilvl="3" w:tplc="040E0001">
      <w:start w:val="1"/>
      <w:numFmt w:val="bullet"/>
      <w:lvlText w:val=""/>
      <w:lvlJc w:val="left"/>
      <w:pPr>
        <w:ind w:left="3240" w:hanging="360"/>
      </w:pPr>
      <w:rPr>
        <w:rFonts w:ascii="Symbol" w:hAnsi="Symbol" w:cs="Symbol" w:hint="default"/>
      </w:rPr>
    </w:lvl>
    <w:lvl w:ilvl="4" w:tplc="040E0003">
      <w:start w:val="1"/>
      <w:numFmt w:val="bullet"/>
      <w:lvlText w:val="o"/>
      <w:lvlJc w:val="left"/>
      <w:pPr>
        <w:ind w:left="3960" w:hanging="360"/>
      </w:pPr>
      <w:rPr>
        <w:rFonts w:ascii="Courier New" w:hAnsi="Courier New" w:cs="Courier New" w:hint="default"/>
      </w:rPr>
    </w:lvl>
    <w:lvl w:ilvl="5" w:tplc="040E0005">
      <w:start w:val="1"/>
      <w:numFmt w:val="bullet"/>
      <w:lvlText w:val=""/>
      <w:lvlJc w:val="left"/>
      <w:pPr>
        <w:ind w:left="4680" w:hanging="360"/>
      </w:pPr>
      <w:rPr>
        <w:rFonts w:ascii="Wingdings" w:hAnsi="Wingdings" w:cs="Wingdings" w:hint="default"/>
      </w:rPr>
    </w:lvl>
    <w:lvl w:ilvl="6" w:tplc="040E0001">
      <w:start w:val="1"/>
      <w:numFmt w:val="bullet"/>
      <w:lvlText w:val=""/>
      <w:lvlJc w:val="left"/>
      <w:pPr>
        <w:ind w:left="5400" w:hanging="360"/>
      </w:pPr>
      <w:rPr>
        <w:rFonts w:ascii="Symbol" w:hAnsi="Symbol" w:cs="Symbol" w:hint="default"/>
      </w:rPr>
    </w:lvl>
    <w:lvl w:ilvl="7" w:tplc="040E0003">
      <w:start w:val="1"/>
      <w:numFmt w:val="bullet"/>
      <w:lvlText w:val="o"/>
      <w:lvlJc w:val="left"/>
      <w:pPr>
        <w:ind w:left="6120" w:hanging="360"/>
      </w:pPr>
      <w:rPr>
        <w:rFonts w:ascii="Courier New" w:hAnsi="Courier New" w:cs="Courier New" w:hint="default"/>
      </w:rPr>
    </w:lvl>
    <w:lvl w:ilvl="8" w:tplc="040E0005">
      <w:start w:val="1"/>
      <w:numFmt w:val="bullet"/>
      <w:lvlText w:val=""/>
      <w:lvlJc w:val="left"/>
      <w:pPr>
        <w:ind w:left="6840" w:hanging="360"/>
      </w:pPr>
      <w:rPr>
        <w:rFonts w:ascii="Wingdings" w:hAnsi="Wingdings" w:cs="Wingdings" w:hint="default"/>
      </w:rPr>
    </w:lvl>
  </w:abstractNum>
  <w:num w:numId="1">
    <w:abstractNumId w:val="3"/>
  </w:num>
  <w:num w:numId="2">
    <w:abstractNumId w:val="4"/>
  </w:num>
  <w:num w:numId="3">
    <w:abstractNumId w:val="6"/>
  </w:num>
  <w:num w:numId="4">
    <w:abstractNumId w:val="31"/>
  </w:num>
  <w:num w:numId="5">
    <w:abstractNumId w:val="25"/>
  </w:num>
  <w:num w:numId="6">
    <w:abstractNumId w:val="20"/>
  </w:num>
  <w:num w:numId="7">
    <w:abstractNumId w:val="34"/>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8"/>
  </w:num>
  <w:num w:numId="13">
    <w:abstractNumId w:val="2"/>
  </w:num>
  <w:num w:numId="14">
    <w:abstractNumId w:val="14"/>
  </w:num>
  <w:num w:numId="15">
    <w:abstractNumId w:val="15"/>
  </w:num>
  <w:num w:numId="16">
    <w:abstractNumId w:val="32"/>
  </w:num>
  <w:num w:numId="17">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0"/>
  </w:num>
  <w:num w:numId="24">
    <w:abstractNumId w:val="16"/>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19"/>
  </w:num>
  <w:num w:numId="35">
    <w:abstractNumId w:val="3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00"/>
  <w:drawingGridVerticalSpacing w:val="136"/>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468"/>
    <w:rsid w:val="00073673"/>
    <w:rsid w:val="00077E2D"/>
    <w:rsid w:val="000B527A"/>
    <w:rsid w:val="000D7C48"/>
    <w:rsid w:val="0018452E"/>
    <w:rsid w:val="0019638B"/>
    <w:rsid w:val="001B5F81"/>
    <w:rsid w:val="002E140C"/>
    <w:rsid w:val="003F5A85"/>
    <w:rsid w:val="00735710"/>
    <w:rsid w:val="007714B8"/>
    <w:rsid w:val="00795A46"/>
    <w:rsid w:val="0087739A"/>
    <w:rsid w:val="00A4359D"/>
    <w:rsid w:val="00A94468"/>
    <w:rsid w:val="00B65BC1"/>
    <w:rsid w:val="00D71DCB"/>
    <w:rsid w:val="00E752FC"/>
    <w:rsid w:val="00F85A9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1D900"/>
  <w15:chartTrackingRefBased/>
  <w15:docId w15:val="{66202395-78B3-4AF2-911D-4C55C729B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A94468"/>
    <w:pPr>
      <w:suppressAutoHyphens/>
      <w:spacing w:after="0" w:line="240" w:lineRule="auto"/>
      <w:jc w:val="both"/>
    </w:pPr>
    <w:rPr>
      <w:rFonts w:ascii="Calibri" w:eastAsia="Times New Roman" w:hAnsi="Calibri" w:cs="Times New Roman"/>
      <w:szCs w:val="24"/>
      <w:lang w:eastAsia="ar-SA"/>
    </w:rPr>
  </w:style>
  <w:style w:type="paragraph" w:styleId="Cmsor1">
    <w:name w:val="heading 1"/>
    <w:basedOn w:val="Norml"/>
    <w:next w:val="Norml"/>
    <w:link w:val="Cmsor1Char"/>
    <w:qFormat/>
    <w:rsid w:val="00A94468"/>
    <w:pPr>
      <w:pBdr>
        <w:top w:val="single" w:sz="4" w:space="1" w:color="000000"/>
        <w:left w:val="single" w:sz="4" w:space="4" w:color="000000"/>
        <w:bottom w:val="single" w:sz="4" w:space="1" w:color="000000"/>
        <w:right w:val="single" w:sz="4" w:space="4" w:color="000000"/>
      </w:pBdr>
      <w:shd w:val="clear" w:color="auto" w:fill="E6E6E6"/>
      <w:autoSpaceDE w:val="0"/>
      <w:outlineLvl w:val="0"/>
    </w:pPr>
    <w:rPr>
      <w:rFonts w:cs="Arial"/>
      <w:b/>
      <w:bCs/>
      <w:sz w:val="28"/>
      <w:szCs w:val="28"/>
    </w:rPr>
  </w:style>
  <w:style w:type="paragraph" w:styleId="Cmsor2">
    <w:name w:val="heading 2"/>
    <w:basedOn w:val="Norml"/>
    <w:next w:val="Norml"/>
    <w:link w:val="Cmsor2Char"/>
    <w:qFormat/>
    <w:rsid w:val="00A94468"/>
    <w:pPr>
      <w:keepNext/>
      <w:pBdr>
        <w:top w:val="single" w:sz="4" w:space="1" w:color="000000"/>
        <w:left w:val="single" w:sz="4" w:space="4" w:color="000000"/>
        <w:bottom w:val="single" w:sz="4" w:space="1" w:color="000000"/>
        <w:right w:val="single" w:sz="4" w:space="4" w:color="000000"/>
      </w:pBdr>
      <w:shd w:val="clear" w:color="auto" w:fill="FFFFFF"/>
      <w:tabs>
        <w:tab w:val="left" w:pos="2580"/>
      </w:tabs>
      <w:jc w:val="center"/>
      <w:outlineLvl w:val="1"/>
    </w:pPr>
    <w:rPr>
      <w:rFonts w:ascii="Book Antiqua" w:hAnsi="Book Antiqua"/>
      <w:b/>
      <w:bCs/>
      <w:iCs/>
      <w:sz w:val="24"/>
    </w:rPr>
  </w:style>
  <w:style w:type="paragraph" w:styleId="Cmsor3">
    <w:name w:val="heading 3"/>
    <w:basedOn w:val="Norml"/>
    <w:next w:val="Norml"/>
    <w:link w:val="Cmsor3Char"/>
    <w:qFormat/>
    <w:rsid w:val="00A94468"/>
    <w:pPr>
      <w:keepNext/>
      <w:pBdr>
        <w:top w:val="single" w:sz="4" w:space="1" w:color="000000"/>
        <w:left w:val="single" w:sz="4" w:space="4" w:color="000000"/>
        <w:bottom w:val="single" w:sz="4" w:space="1" w:color="000000"/>
        <w:right w:val="single" w:sz="4" w:space="4" w:color="000000"/>
      </w:pBdr>
      <w:spacing w:before="240" w:after="240"/>
      <w:jc w:val="left"/>
      <w:outlineLvl w:val="2"/>
    </w:pPr>
    <w:rPr>
      <w:b/>
      <w:bCs/>
      <w:sz w:val="24"/>
      <w:szCs w:val="26"/>
    </w:rPr>
  </w:style>
  <w:style w:type="paragraph" w:styleId="Cmsor4">
    <w:name w:val="heading 4"/>
    <w:basedOn w:val="Norml"/>
    <w:next w:val="Norml"/>
    <w:link w:val="Cmsor4Char"/>
    <w:semiHidden/>
    <w:unhideWhenUsed/>
    <w:qFormat/>
    <w:rsid w:val="00795A46"/>
    <w:pPr>
      <w:keepNext/>
      <w:pBdr>
        <w:top w:val="single" w:sz="4" w:space="1" w:color="000000"/>
        <w:left w:val="single" w:sz="4" w:space="4" w:color="000000"/>
        <w:bottom w:val="single" w:sz="4" w:space="1" w:color="000000"/>
        <w:right w:val="single" w:sz="4" w:space="4" w:color="000000"/>
      </w:pBdr>
      <w:spacing w:before="240" w:after="240"/>
      <w:outlineLvl w:val="3"/>
    </w:pPr>
    <w:rPr>
      <w:rFonts w:cs="Calibri"/>
      <w:sz w:val="24"/>
    </w:rPr>
  </w:style>
  <w:style w:type="paragraph" w:styleId="Cmsor5">
    <w:name w:val="heading 5"/>
    <w:basedOn w:val="Norml"/>
    <w:next w:val="Norml"/>
    <w:link w:val="Cmsor5Char"/>
    <w:semiHidden/>
    <w:unhideWhenUsed/>
    <w:qFormat/>
    <w:rsid w:val="00795A46"/>
    <w:pPr>
      <w:spacing w:before="240" w:after="60"/>
      <w:outlineLvl w:val="4"/>
    </w:pPr>
    <w:rPr>
      <w:rFonts w:cs="Calibri"/>
      <w:b/>
      <w:bCs/>
      <w:i/>
      <w:iCs/>
      <w:sz w:val="26"/>
      <w:szCs w:val="26"/>
    </w:rPr>
  </w:style>
  <w:style w:type="paragraph" w:styleId="Cmsor6">
    <w:name w:val="heading 6"/>
    <w:basedOn w:val="Norml"/>
    <w:next w:val="Norml"/>
    <w:link w:val="Cmsor6Char"/>
    <w:semiHidden/>
    <w:unhideWhenUsed/>
    <w:qFormat/>
    <w:rsid w:val="00795A46"/>
    <w:pPr>
      <w:spacing w:before="240" w:after="60"/>
      <w:outlineLvl w:val="5"/>
    </w:pPr>
    <w:rPr>
      <w:rFonts w:cs="Calibri"/>
      <w:b/>
      <w:bCs/>
      <w:szCs w:val="22"/>
    </w:rPr>
  </w:style>
  <w:style w:type="paragraph" w:styleId="Cmsor7">
    <w:name w:val="heading 7"/>
    <w:basedOn w:val="Norml"/>
    <w:next w:val="Norml"/>
    <w:link w:val="Cmsor7Char"/>
    <w:semiHidden/>
    <w:unhideWhenUsed/>
    <w:qFormat/>
    <w:rsid w:val="00795A46"/>
    <w:pPr>
      <w:spacing w:before="240" w:after="60"/>
      <w:outlineLvl w:val="6"/>
    </w:pPr>
    <w:rPr>
      <w:rFonts w:cs="Calibri"/>
      <w:sz w:val="24"/>
    </w:rPr>
  </w:style>
  <w:style w:type="paragraph" w:styleId="Cmsor8">
    <w:name w:val="heading 8"/>
    <w:basedOn w:val="Norml"/>
    <w:next w:val="Norml"/>
    <w:link w:val="Cmsor8Char"/>
    <w:semiHidden/>
    <w:unhideWhenUsed/>
    <w:qFormat/>
    <w:rsid w:val="00795A46"/>
    <w:pPr>
      <w:spacing w:before="240" w:after="60"/>
      <w:outlineLvl w:val="7"/>
    </w:pPr>
    <w:rPr>
      <w:rFonts w:cs="Calibri"/>
      <w:i/>
      <w:iCs/>
      <w:sz w:val="24"/>
    </w:rPr>
  </w:style>
  <w:style w:type="paragraph" w:styleId="Cmsor9">
    <w:name w:val="heading 9"/>
    <w:basedOn w:val="Norml"/>
    <w:next w:val="Norml"/>
    <w:link w:val="Cmsor9Char"/>
    <w:semiHidden/>
    <w:unhideWhenUsed/>
    <w:qFormat/>
    <w:rsid w:val="00795A46"/>
    <w:pPr>
      <w:spacing w:before="240" w:after="60"/>
      <w:outlineLvl w:val="8"/>
    </w:pPr>
    <w:rPr>
      <w:rFonts w:ascii="Cambria" w:hAnsi="Cambria" w:cs="Cambria"/>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A94468"/>
    <w:rPr>
      <w:rFonts w:ascii="Calibri" w:eastAsia="Times New Roman" w:hAnsi="Calibri" w:cs="Arial"/>
      <w:b/>
      <w:bCs/>
      <w:sz w:val="28"/>
      <w:szCs w:val="28"/>
      <w:shd w:val="clear" w:color="auto" w:fill="E6E6E6"/>
      <w:lang w:eastAsia="ar-SA"/>
    </w:rPr>
  </w:style>
  <w:style w:type="character" w:customStyle="1" w:styleId="Cmsor2Char">
    <w:name w:val="Címsor 2 Char"/>
    <w:basedOn w:val="Bekezdsalapbettpusa"/>
    <w:link w:val="Cmsor2"/>
    <w:rsid w:val="00A94468"/>
    <w:rPr>
      <w:rFonts w:ascii="Book Antiqua" w:eastAsia="Times New Roman" w:hAnsi="Book Antiqua" w:cs="Times New Roman"/>
      <w:b/>
      <w:bCs/>
      <w:iCs/>
      <w:sz w:val="24"/>
      <w:szCs w:val="24"/>
      <w:shd w:val="clear" w:color="auto" w:fill="FFFFFF"/>
      <w:lang w:eastAsia="ar-SA"/>
    </w:rPr>
  </w:style>
  <w:style w:type="character" w:customStyle="1" w:styleId="Cmsor3Char">
    <w:name w:val="Címsor 3 Char"/>
    <w:basedOn w:val="Bekezdsalapbettpusa"/>
    <w:link w:val="Cmsor3"/>
    <w:rsid w:val="00A94468"/>
    <w:rPr>
      <w:rFonts w:ascii="Calibri" w:eastAsia="Times New Roman" w:hAnsi="Calibri" w:cs="Times New Roman"/>
      <w:b/>
      <w:bCs/>
      <w:sz w:val="24"/>
      <w:szCs w:val="26"/>
      <w:lang w:eastAsia="ar-SA"/>
    </w:rPr>
  </w:style>
  <w:style w:type="paragraph" w:customStyle="1" w:styleId="NormlCalibri11">
    <w:name w:val="Normál + Calibri 11"/>
    <w:basedOn w:val="Norml"/>
    <w:uiPriority w:val="99"/>
    <w:rsid w:val="00A94468"/>
    <w:pPr>
      <w:pBdr>
        <w:top w:val="single" w:sz="4" w:space="1" w:color="000000"/>
        <w:left w:val="single" w:sz="4" w:space="4" w:color="000000"/>
        <w:bottom w:val="single" w:sz="4" w:space="1" w:color="000000"/>
        <w:right w:val="single" w:sz="4" w:space="4" w:color="000000"/>
      </w:pBdr>
    </w:pPr>
  </w:style>
  <w:style w:type="character" w:customStyle="1" w:styleId="Lbjegyzet-karakterek">
    <w:name w:val="Lábjegyzet-karakterek"/>
    <w:rsid w:val="00A94468"/>
    <w:rPr>
      <w:vertAlign w:val="superscript"/>
    </w:rPr>
  </w:style>
  <w:style w:type="character" w:styleId="Hiperhivatkozs">
    <w:name w:val="Hyperlink"/>
    <w:uiPriority w:val="99"/>
    <w:rsid w:val="00A94468"/>
    <w:rPr>
      <w:rFonts w:ascii="Verdana" w:hAnsi="Verdana"/>
      <w:b w:val="0"/>
      <w:bCs w:val="0"/>
      <w:color w:val="003085"/>
      <w:sz w:val="16"/>
      <w:szCs w:val="16"/>
      <w:u w:val="single"/>
    </w:rPr>
  </w:style>
  <w:style w:type="paragraph" w:styleId="Nincstrkz">
    <w:name w:val="No Spacing"/>
    <w:qFormat/>
    <w:rsid w:val="00A94468"/>
    <w:pPr>
      <w:suppressAutoHyphens/>
      <w:spacing w:after="0" w:line="240" w:lineRule="auto"/>
    </w:pPr>
    <w:rPr>
      <w:rFonts w:ascii="Calibri" w:eastAsia="Arial" w:hAnsi="Calibri" w:cs="Times New Roman"/>
      <w:lang w:eastAsia="ar-SA"/>
    </w:rPr>
  </w:style>
  <w:style w:type="paragraph" w:styleId="TJ1">
    <w:name w:val="toc 1"/>
    <w:basedOn w:val="Norml"/>
    <w:next w:val="Norml"/>
    <w:uiPriority w:val="39"/>
    <w:rsid w:val="00A94468"/>
    <w:pPr>
      <w:tabs>
        <w:tab w:val="right" w:leader="dot" w:pos="9639"/>
      </w:tabs>
    </w:pPr>
    <w:rPr>
      <w:szCs w:val="22"/>
    </w:rPr>
  </w:style>
  <w:style w:type="paragraph" w:styleId="TJ2">
    <w:name w:val="toc 2"/>
    <w:basedOn w:val="Norml"/>
    <w:next w:val="Norml"/>
    <w:uiPriority w:val="39"/>
    <w:rsid w:val="00A94468"/>
    <w:pPr>
      <w:ind w:left="200"/>
    </w:pPr>
  </w:style>
  <w:style w:type="paragraph" w:styleId="Lbjegyzetszveg">
    <w:name w:val="footnote text"/>
    <w:basedOn w:val="Norml"/>
    <w:link w:val="LbjegyzetszvegChar"/>
    <w:rsid w:val="00A94468"/>
    <w:rPr>
      <w:rFonts w:ascii="Arial" w:hAnsi="Arial"/>
      <w:sz w:val="20"/>
      <w:szCs w:val="20"/>
      <w:lang w:val="fr-FR"/>
    </w:rPr>
  </w:style>
  <w:style w:type="character" w:customStyle="1" w:styleId="LbjegyzetszvegChar">
    <w:name w:val="Lábjegyzetszöveg Char"/>
    <w:basedOn w:val="Bekezdsalapbettpusa"/>
    <w:link w:val="Lbjegyzetszveg"/>
    <w:rsid w:val="00A94468"/>
    <w:rPr>
      <w:rFonts w:ascii="Arial" w:eastAsia="Times New Roman" w:hAnsi="Arial" w:cs="Times New Roman"/>
      <w:sz w:val="20"/>
      <w:szCs w:val="20"/>
      <w:lang w:val="fr-FR" w:eastAsia="ar-SA"/>
    </w:rPr>
  </w:style>
  <w:style w:type="paragraph" w:styleId="lfej">
    <w:name w:val="header"/>
    <w:basedOn w:val="Norml"/>
    <w:link w:val="lfejChar"/>
    <w:rsid w:val="00A94468"/>
    <w:pPr>
      <w:tabs>
        <w:tab w:val="center" w:pos="4536"/>
        <w:tab w:val="right" w:pos="9072"/>
      </w:tabs>
    </w:pPr>
    <w:rPr>
      <w:rFonts w:ascii="Arial" w:hAnsi="Arial"/>
      <w:sz w:val="20"/>
    </w:rPr>
  </w:style>
  <w:style w:type="character" w:customStyle="1" w:styleId="lfejChar">
    <w:name w:val="Élőfej Char"/>
    <w:basedOn w:val="Bekezdsalapbettpusa"/>
    <w:link w:val="lfej"/>
    <w:rsid w:val="00A94468"/>
    <w:rPr>
      <w:rFonts w:ascii="Arial" w:eastAsia="Times New Roman" w:hAnsi="Arial" w:cs="Times New Roman"/>
      <w:sz w:val="20"/>
      <w:szCs w:val="24"/>
      <w:lang w:eastAsia="ar-SA"/>
    </w:rPr>
  </w:style>
  <w:style w:type="paragraph" w:styleId="llb">
    <w:name w:val="footer"/>
    <w:basedOn w:val="Norml"/>
    <w:link w:val="llbChar"/>
    <w:uiPriority w:val="99"/>
    <w:rsid w:val="00A94468"/>
    <w:pPr>
      <w:tabs>
        <w:tab w:val="center" w:pos="4320"/>
        <w:tab w:val="right" w:pos="8640"/>
      </w:tabs>
    </w:pPr>
    <w:rPr>
      <w:rFonts w:ascii="Arial" w:hAnsi="Arial"/>
      <w:sz w:val="20"/>
      <w:lang w:val="en-US"/>
    </w:rPr>
  </w:style>
  <w:style w:type="character" w:customStyle="1" w:styleId="llbChar">
    <w:name w:val="Élőláb Char"/>
    <w:basedOn w:val="Bekezdsalapbettpusa"/>
    <w:link w:val="llb"/>
    <w:uiPriority w:val="99"/>
    <w:rsid w:val="00A94468"/>
    <w:rPr>
      <w:rFonts w:ascii="Arial" w:eastAsia="Times New Roman" w:hAnsi="Arial" w:cs="Times New Roman"/>
      <w:sz w:val="20"/>
      <w:szCs w:val="24"/>
      <w:lang w:val="en-US" w:eastAsia="ar-SA"/>
    </w:rPr>
  </w:style>
  <w:style w:type="paragraph" w:styleId="TJ3">
    <w:name w:val="toc 3"/>
    <w:basedOn w:val="Norml"/>
    <w:next w:val="Norml"/>
    <w:uiPriority w:val="39"/>
    <w:rsid w:val="00A94468"/>
    <w:pPr>
      <w:ind w:left="400"/>
    </w:pPr>
  </w:style>
  <w:style w:type="paragraph" w:styleId="TJ4">
    <w:name w:val="toc 4"/>
    <w:basedOn w:val="Norml"/>
    <w:next w:val="Norml"/>
    <w:rsid w:val="00A94468"/>
    <w:pPr>
      <w:ind w:left="600"/>
    </w:pPr>
  </w:style>
  <w:style w:type="paragraph" w:customStyle="1" w:styleId="Szvegtrzs21">
    <w:name w:val="Szövegtörzs 21"/>
    <w:basedOn w:val="Norml"/>
    <w:rsid w:val="00A94468"/>
    <w:rPr>
      <w:rFonts w:ascii="Times New Roman" w:hAnsi="Times New Roman"/>
      <w:sz w:val="24"/>
      <w:szCs w:val="20"/>
    </w:rPr>
  </w:style>
  <w:style w:type="paragraph" w:customStyle="1" w:styleId="Tblacm">
    <w:name w:val="Táblacím"/>
    <w:basedOn w:val="NormlCalibri11"/>
    <w:rsid w:val="00A94468"/>
    <w:pPr>
      <w:keepNext/>
      <w:pBdr>
        <w:top w:val="none" w:sz="0" w:space="0" w:color="auto"/>
        <w:left w:val="none" w:sz="0" w:space="0" w:color="auto"/>
        <w:bottom w:val="none" w:sz="0" w:space="0" w:color="auto"/>
        <w:right w:val="none" w:sz="0" w:space="0" w:color="auto"/>
      </w:pBdr>
      <w:tabs>
        <w:tab w:val="left" w:pos="2580"/>
      </w:tabs>
    </w:pPr>
    <w:rPr>
      <w:bCs/>
      <w:iCs/>
      <w:szCs w:val="22"/>
    </w:rPr>
  </w:style>
  <w:style w:type="character" w:customStyle="1" w:styleId="Cmsor4Char">
    <w:name w:val="Címsor 4 Char"/>
    <w:basedOn w:val="Bekezdsalapbettpusa"/>
    <w:link w:val="Cmsor4"/>
    <w:semiHidden/>
    <w:rsid w:val="00795A46"/>
    <w:rPr>
      <w:rFonts w:ascii="Calibri" w:eastAsia="Times New Roman" w:hAnsi="Calibri" w:cs="Calibri"/>
      <w:sz w:val="24"/>
      <w:szCs w:val="24"/>
      <w:lang w:eastAsia="ar-SA"/>
    </w:rPr>
  </w:style>
  <w:style w:type="character" w:customStyle="1" w:styleId="Cmsor5Char">
    <w:name w:val="Címsor 5 Char"/>
    <w:basedOn w:val="Bekezdsalapbettpusa"/>
    <w:link w:val="Cmsor5"/>
    <w:semiHidden/>
    <w:rsid w:val="00795A46"/>
    <w:rPr>
      <w:rFonts w:ascii="Calibri" w:eastAsia="Times New Roman" w:hAnsi="Calibri" w:cs="Calibri"/>
      <w:b/>
      <w:bCs/>
      <w:i/>
      <w:iCs/>
      <w:sz w:val="26"/>
      <w:szCs w:val="26"/>
      <w:lang w:eastAsia="ar-SA"/>
    </w:rPr>
  </w:style>
  <w:style w:type="character" w:customStyle="1" w:styleId="Cmsor6Char">
    <w:name w:val="Címsor 6 Char"/>
    <w:basedOn w:val="Bekezdsalapbettpusa"/>
    <w:link w:val="Cmsor6"/>
    <w:semiHidden/>
    <w:rsid w:val="00795A46"/>
    <w:rPr>
      <w:rFonts w:ascii="Calibri" w:eastAsia="Times New Roman" w:hAnsi="Calibri" w:cs="Calibri"/>
      <w:b/>
      <w:bCs/>
      <w:lang w:eastAsia="ar-SA"/>
    </w:rPr>
  </w:style>
  <w:style w:type="character" w:customStyle="1" w:styleId="Cmsor7Char">
    <w:name w:val="Címsor 7 Char"/>
    <w:basedOn w:val="Bekezdsalapbettpusa"/>
    <w:link w:val="Cmsor7"/>
    <w:semiHidden/>
    <w:rsid w:val="00795A46"/>
    <w:rPr>
      <w:rFonts w:ascii="Calibri" w:eastAsia="Times New Roman" w:hAnsi="Calibri" w:cs="Calibri"/>
      <w:sz w:val="24"/>
      <w:szCs w:val="24"/>
      <w:lang w:eastAsia="ar-SA"/>
    </w:rPr>
  </w:style>
  <w:style w:type="character" w:customStyle="1" w:styleId="Cmsor8Char">
    <w:name w:val="Címsor 8 Char"/>
    <w:basedOn w:val="Bekezdsalapbettpusa"/>
    <w:link w:val="Cmsor8"/>
    <w:semiHidden/>
    <w:rsid w:val="00795A46"/>
    <w:rPr>
      <w:rFonts w:ascii="Calibri" w:eastAsia="Times New Roman" w:hAnsi="Calibri" w:cs="Calibri"/>
      <w:i/>
      <w:iCs/>
      <w:sz w:val="24"/>
      <w:szCs w:val="24"/>
      <w:lang w:eastAsia="ar-SA"/>
    </w:rPr>
  </w:style>
  <w:style w:type="character" w:customStyle="1" w:styleId="Cmsor9Char">
    <w:name w:val="Címsor 9 Char"/>
    <w:basedOn w:val="Bekezdsalapbettpusa"/>
    <w:link w:val="Cmsor9"/>
    <w:semiHidden/>
    <w:rsid w:val="00795A46"/>
    <w:rPr>
      <w:rFonts w:ascii="Cambria" w:eastAsia="Times New Roman" w:hAnsi="Cambria" w:cs="Cambria"/>
      <w:lang w:eastAsia="ar-SA"/>
    </w:rPr>
  </w:style>
  <w:style w:type="character" w:styleId="Mrltotthiperhivatkozs">
    <w:name w:val="FollowedHyperlink"/>
    <w:basedOn w:val="Bekezdsalapbettpusa"/>
    <w:semiHidden/>
    <w:unhideWhenUsed/>
    <w:rsid w:val="00795A46"/>
    <w:rPr>
      <w:color w:val="auto"/>
      <w:u w:val="single"/>
    </w:rPr>
  </w:style>
  <w:style w:type="paragraph" w:customStyle="1" w:styleId="msonormal0">
    <w:name w:val="msonormal"/>
    <w:basedOn w:val="Norml"/>
    <w:rsid w:val="00795A46"/>
    <w:pPr>
      <w:spacing w:before="280" w:after="280"/>
    </w:pPr>
    <w:rPr>
      <w:rFonts w:cs="Calibri"/>
      <w:szCs w:val="22"/>
    </w:rPr>
  </w:style>
  <w:style w:type="paragraph" w:styleId="NormlWeb">
    <w:name w:val="Normal (Web)"/>
    <w:basedOn w:val="Norml"/>
    <w:semiHidden/>
    <w:unhideWhenUsed/>
    <w:rsid w:val="00795A46"/>
    <w:pPr>
      <w:spacing w:before="280" w:after="280"/>
    </w:pPr>
    <w:rPr>
      <w:rFonts w:cs="Calibri"/>
      <w:szCs w:val="22"/>
    </w:rPr>
  </w:style>
  <w:style w:type="paragraph" w:styleId="Jegyzetszveg">
    <w:name w:val="annotation text"/>
    <w:basedOn w:val="Norml"/>
    <w:link w:val="JegyzetszvegChar"/>
    <w:uiPriority w:val="99"/>
    <w:semiHidden/>
    <w:unhideWhenUsed/>
    <w:rsid w:val="00795A46"/>
    <w:rPr>
      <w:rFonts w:cs="Calibri"/>
      <w:sz w:val="20"/>
      <w:szCs w:val="20"/>
    </w:rPr>
  </w:style>
  <w:style w:type="character" w:customStyle="1" w:styleId="JegyzetszvegChar">
    <w:name w:val="Jegyzetszöveg Char"/>
    <w:basedOn w:val="Bekezdsalapbettpusa"/>
    <w:link w:val="Jegyzetszveg"/>
    <w:uiPriority w:val="99"/>
    <w:semiHidden/>
    <w:rsid w:val="00795A46"/>
    <w:rPr>
      <w:rFonts w:ascii="Calibri" w:eastAsia="Times New Roman" w:hAnsi="Calibri" w:cs="Calibri"/>
      <w:sz w:val="20"/>
      <w:szCs w:val="20"/>
      <w:lang w:eastAsia="ar-SA"/>
    </w:rPr>
  </w:style>
  <w:style w:type="paragraph" w:styleId="Vgjegyzetszvege">
    <w:name w:val="endnote text"/>
    <w:basedOn w:val="Norml"/>
    <w:link w:val="VgjegyzetszvegeChar"/>
    <w:semiHidden/>
    <w:unhideWhenUsed/>
    <w:rsid w:val="00795A46"/>
    <w:rPr>
      <w:rFonts w:ascii="Arial" w:hAnsi="Arial" w:cs="Arial"/>
      <w:sz w:val="20"/>
      <w:szCs w:val="20"/>
    </w:rPr>
  </w:style>
  <w:style w:type="character" w:customStyle="1" w:styleId="VgjegyzetszvegeChar">
    <w:name w:val="Végjegyzet szövege Char"/>
    <w:basedOn w:val="Bekezdsalapbettpusa"/>
    <w:link w:val="Vgjegyzetszvege"/>
    <w:semiHidden/>
    <w:rsid w:val="00795A46"/>
    <w:rPr>
      <w:rFonts w:ascii="Arial" w:eastAsia="Times New Roman" w:hAnsi="Arial" w:cs="Arial"/>
      <w:sz w:val="20"/>
      <w:szCs w:val="20"/>
      <w:lang w:eastAsia="ar-SA"/>
    </w:rPr>
  </w:style>
  <w:style w:type="paragraph" w:styleId="Szvegtrzs">
    <w:name w:val="Body Text"/>
    <w:basedOn w:val="Norml"/>
    <w:link w:val="SzvegtrzsChar"/>
    <w:semiHidden/>
    <w:unhideWhenUsed/>
    <w:rsid w:val="00795A46"/>
    <w:pPr>
      <w:spacing w:after="120"/>
    </w:pPr>
    <w:rPr>
      <w:rFonts w:cs="Calibri"/>
      <w:szCs w:val="22"/>
    </w:rPr>
  </w:style>
  <w:style w:type="character" w:customStyle="1" w:styleId="SzvegtrzsChar">
    <w:name w:val="Szövegtörzs Char"/>
    <w:basedOn w:val="Bekezdsalapbettpusa"/>
    <w:link w:val="Szvegtrzs"/>
    <w:semiHidden/>
    <w:rsid w:val="00795A46"/>
    <w:rPr>
      <w:rFonts w:ascii="Calibri" w:eastAsia="Times New Roman" w:hAnsi="Calibri" w:cs="Calibri"/>
      <w:lang w:eastAsia="ar-SA"/>
    </w:rPr>
  </w:style>
  <w:style w:type="paragraph" w:styleId="Lista">
    <w:name w:val="List"/>
    <w:basedOn w:val="Szvegtrzs"/>
    <w:semiHidden/>
    <w:unhideWhenUsed/>
    <w:rsid w:val="00795A46"/>
  </w:style>
  <w:style w:type="paragraph" w:styleId="Cm">
    <w:name w:val="Title"/>
    <w:basedOn w:val="Norml"/>
    <w:next w:val="Norml"/>
    <w:link w:val="CmChar"/>
    <w:qFormat/>
    <w:rsid w:val="00795A46"/>
    <w:pPr>
      <w:spacing w:before="240" w:after="60"/>
      <w:jc w:val="center"/>
    </w:pPr>
    <w:rPr>
      <w:rFonts w:ascii="Cambria" w:hAnsi="Cambria" w:cs="Cambria"/>
      <w:b/>
      <w:bCs/>
      <w:kern w:val="2"/>
      <w:sz w:val="32"/>
      <w:szCs w:val="32"/>
    </w:rPr>
  </w:style>
  <w:style w:type="character" w:customStyle="1" w:styleId="CmChar">
    <w:name w:val="Cím Char"/>
    <w:basedOn w:val="Bekezdsalapbettpusa"/>
    <w:link w:val="Cm"/>
    <w:rsid w:val="00795A46"/>
    <w:rPr>
      <w:rFonts w:ascii="Cambria" w:eastAsia="Times New Roman" w:hAnsi="Cambria" w:cs="Cambria"/>
      <w:b/>
      <w:bCs/>
      <w:kern w:val="2"/>
      <w:sz w:val="32"/>
      <w:szCs w:val="32"/>
      <w:lang w:eastAsia="ar-SA"/>
    </w:rPr>
  </w:style>
  <w:style w:type="paragraph" w:styleId="Szvegtrzsbehzssal">
    <w:name w:val="Body Text Indent"/>
    <w:basedOn w:val="Norml"/>
    <w:link w:val="SzvegtrzsbehzssalChar"/>
    <w:semiHidden/>
    <w:unhideWhenUsed/>
    <w:rsid w:val="00795A46"/>
    <w:pPr>
      <w:autoSpaceDE w:val="0"/>
      <w:spacing w:after="120"/>
      <w:ind w:left="283"/>
    </w:pPr>
    <w:rPr>
      <w:rFonts w:ascii="Arial" w:hAnsi="Arial" w:cs="Arial"/>
      <w:sz w:val="20"/>
      <w:szCs w:val="20"/>
    </w:rPr>
  </w:style>
  <w:style w:type="character" w:customStyle="1" w:styleId="SzvegtrzsbehzssalChar">
    <w:name w:val="Szövegtörzs behúzással Char"/>
    <w:basedOn w:val="Bekezdsalapbettpusa"/>
    <w:link w:val="Szvegtrzsbehzssal"/>
    <w:semiHidden/>
    <w:rsid w:val="00795A46"/>
    <w:rPr>
      <w:rFonts w:ascii="Arial" w:eastAsia="Times New Roman" w:hAnsi="Arial" w:cs="Arial"/>
      <w:sz w:val="20"/>
      <w:szCs w:val="20"/>
      <w:lang w:eastAsia="ar-SA"/>
    </w:rPr>
  </w:style>
  <w:style w:type="paragraph" w:styleId="Alcm">
    <w:name w:val="Subtitle"/>
    <w:basedOn w:val="Norml"/>
    <w:next w:val="Norml"/>
    <w:link w:val="AlcmChar"/>
    <w:qFormat/>
    <w:rsid w:val="00795A46"/>
    <w:pPr>
      <w:spacing w:after="60"/>
      <w:jc w:val="center"/>
    </w:pPr>
    <w:rPr>
      <w:rFonts w:ascii="Cambria" w:hAnsi="Cambria" w:cs="Cambria"/>
      <w:sz w:val="24"/>
    </w:rPr>
  </w:style>
  <w:style w:type="character" w:customStyle="1" w:styleId="AlcmChar">
    <w:name w:val="Alcím Char"/>
    <w:basedOn w:val="Bekezdsalapbettpusa"/>
    <w:link w:val="Alcm"/>
    <w:rsid w:val="00795A46"/>
    <w:rPr>
      <w:rFonts w:ascii="Cambria" w:eastAsia="Times New Roman" w:hAnsi="Cambria" w:cs="Cambria"/>
      <w:sz w:val="24"/>
      <w:szCs w:val="24"/>
      <w:lang w:eastAsia="ar-SA"/>
    </w:rPr>
  </w:style>
  <w:style w:type="paragraph" w:styleId="Buborkszveg">
    <w:name w:val="Balloon Text"/>
    <w:basedOn w:val="Norml"/>
    <w:link w:val="BuborkszvegChar"/>
    <w:semiHidden/>
    <w:unhideWhenUsed/>
    <w:rsid w:val="00795A46"/>
    <w:rPr>
      <w:rFonts w:ascii="Tahoma" w:hAnsi="Tahoma" w:cs="Tahoma"/>
      <w:sz w:val="16"/>
      <w:szCs w:val="16"/>
    </w:rPr>
  </w:style>
  <w:style w:type="character" w:customStyle="1" w:styleId="BuborkszvegChar">
    <w:name w:val="Buborékszöveg Char"/>
    <w:basedOn w:val="Bekezdsalapbettpusa"/>
    <w:link w:val="Buborkszveg"/>
    <w:semiHidden/>
    <w:rsid w:val="00795A46"/>
    <w:rPr>
      <w:rFonts w:ascii="Tahoma" w:eastAsia="Times New Roman" w:hAnsi="Tahoma" w:cs="Tahoma"/>
      <w:sz w:val="16"/>
      <w:szCs w:val="16"/>
      <w:lang w:eastAsia="ar-SA"/>
    </w:rPr>
  </w:style>
  <w:style w:type="paragraph" w:styleId="Listaszerbekezds">
    <w:name w:val="List Paragraph"/>
    <w:basedOn w:val="Norml"/>
    <w:qFormat/>
    <w:rsid w:val="00795A46"/>
    <w:pPr>
      <w:ind w:left="708"/>
    </w:pPr>
    <w:rPr>
      <w:rFonts w:cs="Calibri"/>
      <w:szCs w:val="22"/>
    </w:rPr>
  </w:style>
  <w:style w:type="paragraph" w:styleId="Idzet">
    <w:name w:val="Quote"/>
    <w:basedOn w:val="Norml"/>
    <w:next w:val="Norml"/>
    <w:link w:val="IdzetChar1"/>
    <w:qFormat/>
    <w:rsid w:val="00795A46"/>
    <w:rPr>
      <w:rFonts w:ascii="Arial" w:hAnsi="Arial" w:cs="Arial"/>
      <w:i/>
      <w:iCs/>
      <w:color w:val="000000"/>
      <w:sz w:val="20"/>
      <w:szCs w:val="20"/>
    </w:rPr>
  </w:style>
  <w:style w:type="character" w:customStyle="1" w:styleId="IdzetChar">
    <w:name w:val="Idézet Char"/>
    <w:basedOn w:val="Bekezdsalapbettpusa"/>
    <w:rsid w:val="00795A46"/>
    <w:rPr>
      <w:rFonts w:ascii="Calibri" w:eastAsia="Times New Roman" w:hAnsi="Calibri" w:cs="Times New Roman"/>
      <w:i/>
      <w:iCs/>
      <w:color w:val="404040" w:themeColor="text1" w:themeTint="BF"/>
      <w:szCs w:val="24"/>
      <w:lang w:eastAsia="ar-SA"/>
    </w:rPr>
  </w:style>
  <w:style w:type="paragraph" w:styleId="Kiemeltidzet">
    <w:name w:val="Intense Quote"/>
    <w:basedOn w:val="Norml"/>
    <w:next w:val="Norml"/>
    <w:link w:val="KiemeltidzetChar1"/>
    <w:qFormat/>
    <w:rsid w:val="00795A46"/>
    <w:pPr>
      <w:pBdr>
        <w:bottom w:val="single" w:sz="4" w:space="4" w:color="808080"/>
      </w:pBdr>
      <w:spacing w:before="200" w:after="280"/>
      <w:ind w:left="936" w:right="936"/>
    </w:pPr>
    <w:rPr>
      <w:rFonts w:ascii="Arial" w:hAnsi="Arial" w:cs="Arial"/>
      <w:b/>
      <w:bCs/>
      <w:i/>
      <w:iCs/>
      <w:color w:val="4F81BD"/>
      <w:sz w:val="20"/>
      <w:szCs w:val="20"/>
    </w:rPr>
  </w:style>
  <w:style w:type="character" w:customStyle="1" w:styleId="KiemeltidzetChar">
    <w:name w:val="Kiemelt idézet Char"/>
    <w:basedOn w:val="Bekezdsalapbettpusa"/>
    <w:rsid w:val="00795A46"/>
    <w:rPr>
      <w:rFonts w:ascii="Calibri" w:eastAsia="Times New Roman" w:hAnsi="Calibri" w:cs="Times New Roman"/>
      <w:i/>
      <w:iCs/>
      <w:color w:val="5B9BD5" w:themeColor="accent1"/>
      <w:szCs w:val="24"/>
      <w:lang w:eastAsia="ar-SA"/>
    </w:rPr>
  </w:style>
  <w:style w:type="paragraph" w:styleId="Tartalomjegyzkcmsora">
    <w:name w:val="TOC Heading"/>
    <w:basedOn w:val="Cmsor1"/>
    <w:next w:val="Norml"/>
    <w:semiHidden/>
    <w:unhideWhenUsed/>
    <w:qFormat/>
    <w:rsid w:val="00795A46"/>
    <w:pPr>
      <w:keepLines/>
      <w:spacing w:before="480" w:line="276" w:lineRule="auto"/>
    </w:pPr>
    <w:rPr>
      <w:rFonts w:ascii="Cambria" w:hAnsi="Cambria" w:cs="Cambria"/>
      <w:color w:val="365F91"/>
    </w:rPr>
  </w:style>
  <w:style w:type="paragraph" w:customStyle="1" w:styleId="Cmsor">
    <w:name w:val="Címsor"/>
    <w:basedOn w:val="Norml"/>
    <w:next w:val="Szvegtrzs"/>
    <w:rsid w:val="00795A46"/>
    <w:pPr>
      <w:keepNext/>
      <w:spacing w:before="240" w:after="120"/>
    </w:pPr>
    <w:rPr>
      <w:rFonts w:ascii="Arial" w:eastAsia="Calibri" w:hAnsi="Arial" w:cs="Arial"/>
      <w:sz w:val="28"/>
      <w:szCs w:val="28"/>
    </w:rPr>
  </w:style>
  <w:style w:type="paragraph" w:customStyle="1" w:styleId="Felirat">
    <w:name w:val="Felirat"/>
    <w:basedOn w:val="Norml"/>
    <w:rsid w:val="00795A46"/>
    <w:pPr>
      <w:suppressLineNumbers/>
      <w:spacing w:before="120" w:after="120"/>
    </w:pPr>
    <w:rPr>
      <w:rFonts w:cs="Calibri"/>
      <w:i/>
      <w:iCs/>
      <w:sz w:val="24"/>
    </w:rPr>
  </w:style>
  <w:style w:type="paragraph" w:customStyle="1" w:styleId="Trgymutat">
    <w:name w:val="Tárgymutató"/>
    <w:basedOn w:val="Norml"/>
    <w:rsid w:val="00795A46"/>
    <w:pPr>
      <w:suppressLineNumbers/>
    </w:pPr>
    <w:rPr>
      <w:rFonts w:cs="Calibri"/>
      <w:szCs w:val="22"/>
    </w:rPr>
  </w:style>
  <w:style w:type="paragraph" w:customStyle="1" w:styleId="Kpalrs1">
    <w:name w:val="Képaláírás1"/>
    <w:basedOn w:val="Norml"/>
    <w:next w:val="Norml"/>
    <w:rsid w:val="00795A46"/>
    <w:rPr>
      <w:rFonts w:cs="Calibri"/>
      <w:b/>
      <w:bCs/>
      <w:szCs w:val="22"/>
    </w:rPr>
  </w:style>
  <w:style w:type="paragraph" w:customStyle="1" w:styleId="Stlus1">
    <w:name w:val="Stílus1"/>
    <w:basedOn w:val="Cmsor2"/>
    <w:rsid w:val="00795A46"/>
    <w:pPr>
      <w:numPr>
        <w:ilvl w:val="1"/>
        <w:numId w:val="8"/>
      </w:numPr>
      <w:spacing w:line="360" w:lineRule="auto"/>
    </w:pPr>
    <w:rPr>
      <w:rFonts w:cs="Book Antiqua"/>
      <w:iCs w:val="0"/>
    </w:rPr>
  </w:style>
  <w:style w:type="paragraph" w:customStyle="1" w:styleId="Stlus2">
    <w:name w:val="Stílus2"/>
    <w:basedOn w:val="Cmsor2"/>
    <w:rsid w:val="00795A46"/>
    <w:rPr>
      <w:rFonts w:cs="Book Antiqua"/>
      <w:iCs w:val="0"/>
    </w:rPr>
  </w:style>
  <w:style w:type="paragraph" w:customStyle="1" w:styleId="Szvegtrzs210">
    <w:name w:val="Szövegtörzs 21"/>
    <w:basedOn w:val="Norml"/>
    <w:rsid w:val="00795A46"/>
    <w:pPr>
      <w:spacing w:after="120" w:line="480" w:lineRule="auto"/>
    </w:pPr>
    <w:rPr>
      <w:rFonts w:cs="Calibri"/>
      <w:szCs w:val="22"/>
    </w:rPr>
  </w:style>
  <w:style w:type="paragraph" w:customStyle="1" w:styleId="Jegyzetszveg1">
    <w:name w:val="Jegyzetszöveg1"/>
    <w:basedOn w:val="Norml"/>
    <w:rsid w:val="00795A46"/>
    <w:rPr>
      <w:rFonts w:cs="Calibri"/>
      <w:szCs w:val="22"/>
    </w:rPr>
  </w:style>
  <w:style w:type="paragraph" w:customStyle="1" w:styleId="NormlCalibri">
    <w:name w:val="Normál + Calibri"/>
    <w:basedOn w:val="Norml"/>
    <w:rsid w:val="00795A46"/>
    <w:rPr>
      <w:rFonts w:cs="Calibri"/>
      <w:b/>
      <w:bCs/>
      <w:i/>
      <w:iCs/>
      <w:szCs w:val="22"/>
    </w:rPr>
  </w:style>
  <w:style w:type="paragraph" w:customStyle="1" w:styleId="Stlus3">
    <w:name w:val="Stílus3"/>
    <w:basedOn w:val="Cmsor3"/>
    <w:rsid w:val="00795A46"/>
    <w:rPr>
      <w:rFonts w:cs="Calibri"/>
      <w:b w:val="0"/>
      <w:bCs w:val="0"/>
      <w:sz w:val="22"/>
      <w:szCs w:val="22"/>
      <w:u w:val="single"/>
    </w:rPr>
  </w:style>
  <w:style w:type="paragraph" w:customStyle="1" w:styleId="Stlus4">
    <w:name w:val="Stílus4"/>
    <w:basedOn w:val="Cmsor3"/>
    <w:rsid w:val="00795A46"/>
    <w:rPr>
      <w:rFonts w:cs="Calibri"/>
      <w:b w:val="0"/>
      <w:bCs w:val="0"/>
      <w:sz w:val="22"/>
      <w:szCs w:val="22"/>
      <w:u w:val="single"/>
    </w:rPr>
  </w:style>
  <w:style w:type="paragraph" w:customStyle="1" w:styleId="Cm3">
    <w:name w:val="Cím3"/>
    <w:basedOn w:val="Norml"/>
    <w:next w:val="Norml"/>
    <w:rsid w:val="00795A46"/>
    <w:pPr>
      <w:keepNext/>
      <w:keepLines/>
      <w:tabs>
        <w:tab w:val="left" w:pos="900"/>
      </w:tabs>
      <w:spacing w:before="360" w:after="60"/>
      <w:ind w:left="681" w:hanging="397"/>
    </w:pPr>
    <w:rPr>
      <w:rFonts w:ascii="Verdana" w:hAnsi="Verdana" w:cs="Verdana"/>
      <w:b/>
      <w:bCs/>
      <w:color w:val="993366"/>
      <w:sz w:val="18"/>
      <w:szCs w:val="18"/>
    </w:rPr>
  </w:style>
  <w:style w:type="paragraph" w:customStyle="1" w:styleId="StlusNormlCalibri11Mintzatres5-osszrke">
    <w:name w:val="Stílus Normál + Calibri 11 + Mintázat: Üres (5%-os szürke)"/>
    <w:basedOn w:val="NormlCalibri11"/>
    <w:next w:val="NormlCalibri"/>
    <w:rsid w:val="00795A46"/>
    <w:pPr>
      <w:pBdr>
        <w:top w:val="none" w:sz="0" w:space="0" w:color="auto"/>
        <w:left w:val="none" w:sz="0" w:space="0" w:color="auto"/>
        <w:bottom w:val="none" w:sz="0" w:space="0" w:color="auto"/>
        <w:right w:val="none" w:sz="0" w:space="0" w:color="auto"/>
      </w:pBdr>
    </w:pPr>
    <w:rPr>
      <w:rFonts w:cs="Calibri"/>
      <w:szCs w:val="22"/>
    </w:rPr>
  </w:style>
  <w:style w:type="paragraph" w:customStyle="1" w:styleId="StlusNormlWebCalibri11ptSorkizrt">
    <w:name w:val="Stílus Normál (Web) + Calibri 11 pt Sorkizárt"/>
    <w:basedOn w:val="Norml"/>
    <w:next w:val="Norml"/>
    <w:rsid w:val="00795A46"/>
    <w:rPr>
      <w:rFonts w:cs="Calibri"/>
      <w:szCs w:val="22"/>
    </w:rPr>
  </w:style>
  <w:style w:type="paragraph" w:customStyle="1" w:styleId="StlusNormlCalibri11TimesNewRoman11pt">
    <w:name w:val="Stílus Normál + Calibri 11 + Times New Roman 11 pt"/>
    <w:basedOn w:val="Norml"/>
    <w:next w:val="Norml"/>
    <w:rsid w:val="00795A46"/>
    <w:pPr>
      <w:shd w:val="clear" w:color="auto" w:fill="FFFFFF"/>
    </w:pPr>
    <w:rPr>
      <w:rFonts w:ascii="Times New Roman" w:hAnsi="Times New Roman"/>
      <w:szCs w:val="22"/>
    </w:rPr>
  </w:style>
  <w:style w:type="paragraph" w:customStyle="1" w:styleId="StlusNormlCalibri1111pt">
    <w:name w:val="Stílus Normál + Calibri 11 + 11 pt"/>
    <w:basedOn w:val="NormlCalibri11"/>
    <w:rsid w:val="00795A46"/>
    <w:pPr>
      <w:shd w:val="clear" w:color="auto" w:fill="FFFFFF"/>
    </w:pPr>
    <w:rPr>
      <w:rFonts w:cs="Calibri"/>
      <w:szCs w:val="22"/>
    </w:rPr>
  </w:style>
  <w:style w:type="paragraph" w:customStyle="1" w:styleId="ptyikatblzatban">
    <w:name w:val="pötyik a táblázatban"/>
    <w:basedOn w:val="Norml"/>
    <w:rsid w:val="00795A46"/>
    <w:pPr>
      <w:tabs>
        <w:tab w:val="left" w:pos="170"/>
        <w:tab w:val="left" w:pos="360"/>
      </w:tabs>
      <w:overflowPunct w:val="0"/>
      <w:autoSpaceDE w:val="0"/>
      <w:ind w:left="170" w:hanging="170"/>
      <w:jc w:val="left"/>
    </w:pPr>
    <w:rPr>
      <w:rFonts w:ascii="Times New Roman" w:hAnsi="Times New Roman"/>
      <w:sz w:val="20"/>
      <w:szCs w:val="20"/>
    </w:rPr>
  </w:style>
  <w:style w:type="paragraph" w:customStyle="1" w:styleId="NormlDlt">
    <w:name w:val="Normál + Dőlt"/>
    <w:basedOn w:val="Norml"/>
    <w:next w:val="NormlCalibri11"/>
    <w:rsid w:val="00795A46"/>
    <w:pPr>
      <w:shd w:val="clear" w:color="auto" w:fill="F3F3F3"/>
    </w:pPr>
    <w:rPr>
      <w:rFonts w:cs="Calibri"/>
      <w:i/>
      <w:iCs/>
      <w:szCs w:val="22"/>
    </w:rPr>
  </w:style>
  <w:style w:type="paragraph" w:customStyle="1" w:styleId="Default">
    <w:name w:val="Default"/>
    <w:rsid w:val="00795A46"/>
    <w:pPr>
      <w:suppressAutoHyphens/>
      <w:autoSpaceDE w:val="0"/>
      <w:spacing w:after="0" w:line="240" w:lineRule="auto"/>
    </w:pPr>
    <w:rPr>
      <w:rFonts w:ascii="Calibri" w:eastAsia="Calibri" w:hAnsi="Calibri" w:cs="Calibri"/>
      <w:color w:val="000000"/>
      <w:sz w:val="24"/>
      <w:szCs w:val="24"/>
      <w:lang w:eastAsia="hu-HU"/>
    </w:rPr>
  </w:style>
  <w:style w:type="paragraph" w:customStyle="1" w:styleId="BodyText21">
    <w:name w:val="Body Text 21"/>
    <w:basedOn w:val="Norml"/>
    <w:uiPriority w:val="99"/>
    <w:semiHidden/>
    <w:rsid w:val="00795A46"/>
    <w:rPr>
      <w:rFonts w:ascii="Times New Roman" w:hAnsi="Times New Roman"/>
      <w:sz w:val="24"/>
    </w:rPr>
  </w:style>
  <w:style w:type="paragraph" w:customStyle="1" w:styleId="Kerettartalom">
    <w:name w:val="Kerettartalom"/>
    <w:basedOn w:val="Szvegtrzs"/>
    <w:rsid w:val="00795A46"/>
  </w:style>
  <w:style w:type="paragraph" w:customStyle="1" w:styleId="Tblzattartalom">
    <w:name w:val="Táblázattartalom"/>
    <w:basedOn w:val="Norml"/>
    <w:rsid w:val="00795A46"/>
    <w:pPr>
      <w:suppressLineNumbers/>
    </w:pPr>
    <w:rPr>
      <w:rFonts w:cs="Calibri"/>
      <w:szCs w:val="22"/>
    </w:rPr>
  </w:style>
  <w:style w:type="paragraph" w:customStyle="1" w:styleId="Tblzatfejlc">
    <w:name w:val="Táblázatfejléc"/>
    <w:basedOn w:val="Tblzattartalom"/>
    <w:rsid w:val="00795A46"/>
    <w:pPr>
      <w:jc w:val="center"/>
    </w:pPr>
    <w:rPr>
      <w:b/>
      <w:bCs/>
    </w:rPr>
  </w:style>
  <w:style w:type="paragraph" w:customStyle="1" w:styleId="Tartalomjegyzk10">
    <w:name w:val="Tartalomjegyzék 10"/>
    <w:basedOn w:val="Trgymutat"/>
    <w:rsid w:val="00795A46"/>
    <w:pPr>
      <w:tabs>
        <w:tab w:val="right" w:leader="dot" w:pos="7091"/>
      </w:tabs>
      <w:ind w:left="2547"/>
    </w:pPr>
  </w:style>
  <w:style w:type="character" w:styleId="Lbjegyzet-hivatkozs">
    <w:name w:val="footnote reference"/>
    <w:basedOn w:val="Bekezdsalapbettpusa"/>
    <w:semiHidden/>
    <w:unhideWhenUsed/>
    <w:rsid w:val="00795A46"/>
    <w:rPr>
      <w:vertAlign w:val="superscript"/>
    </w:rPr>
  </w:style>
  <w:style w:type="character" w:styleId="Vgjegyzet-hivatkozs">
    <w:name w:val="endnote reference"/>
    <w:basedOn w:val="Bekezdsalapbettpusa"/>
    <w:semiHidden/>
    <w:unhideWhenUsed/>
    <w:rsid w:val="00795A46"/>
    <w:rPr>
      <w:vertAlign w:val="superscript"/>
    </w:rPr>
  </w:style>
  <w:style w:type="character" w:styleId="Finomkiemels">
    <w:name w:val="Subtle Emphasis"/>
    <w:basedOn w:val="Bekezdsalapbettpusa"/>
    <w:qFormat/>
    <w:rsid w:val="00795A46"/>
    <w:rPr>
      <w:i/>
      <w:iCs/>
      <w:color w:val="808080"/>
    </w:rPr>
  </w:style>
  <w:style w:type="character" w:styleId="Finomhivatkozs">
    <w:name w:val="Subtle Reference"/>
    <w:basedOn w:val="Bekezdsalapbettpusa"/>
    <w:qFormat/>
    <w:rsid w:val="00795A46"/>
    <w:rPr>
      <w:smallCaps/>
      <w:color w:val="auto"/>
      <w:u w:val="single"/>
    </w:rPr>
  </w:style>
  <w:style w:type="character" w:styleId="Ershivatkozs">
    <w:name w:val="Intense Reference"/>
    <w:basedOn w:val="Bekezdsalapbettpusa"/>
    <w:qFormat/>
    <w:rsid w:val="00795A46"/>
    <w:rPr>
      <w:b/>
      <w:bCs/>
      <w:smallCaps/>
      <w:color w:val="auto"/>
      <w:spacing w:val="5"/>
      <w:u w:val="single"/>
    </w:rPr>
  </w:style>
  <w:style w:type="character" w:styleId="Knyvcme">
    <w:name w:val="Book Title"/>
    <w:basedOn w:val="Bekezdsalapbettpusa"/>
    <w:qFormat/>
    <w:rsid w:val="00795A46"/>
    <w:rPr>
      <w:b/>
      <w:bCs/>
      <w:smallCaps/>
      <w:spacing w:val="5"/>
    </w:rPr>
  </w:style>
  <w:style w:type="character" w:customStyle="1" w:styleId="IdzetChar1">
    <w:name w:val="Idézet Char1"/>
    <w:basedOn w:val="Bekezdsalapbettpusa"/>
    <w:link w:val="Idzet"/>
    <w:locked/>
    <w:rsid w:val="00795A46"/>
    <w:rPr>
      <w:rFonts w:ascii="Arial" w:eastAsia="Times New Roman" w:hAnsi="Arial" w:cs="Arial"/>
      <w:i/>
      <w:iCs/>
      <w:color w:val="000000"/>
      <w:sz w:val="20"/>
      <w:szCs w:val="20"/>
      <w:lang w:eastAsia="ar-SA"/>
    </w:rPr>
  </w:style>
  <w:style w:type="character" w:customStyle="1" w:styleId="KiemeltidzetChar1">
    <w:name w:val="Kiemelt idézet Char1"/>
    <w:basedOn w:val="Bekezdsalapbettpusa"/>
    <w:link w:val="Kiemeltidzet"/>
    <w:locked/>
    <w:rsid w:val="00795A46"/>
    <w:rPr>
      <w:rFonts w:ascii="Arial" w:eastAsia="Times New Roman" w:hAnsi="Arial" w:cs="Arial"/>
      <w:b/>
      <w:bCs/>
      <w:i/>
      <w:iCs/>
      <w:color w:val="4F81BD"/>
      <w:sz w:val="20"/>
      <w:szCs w:val="20"/>
      <w:lang w:eastAsia="ar-SA"/>
    </w:rPr>
  </w:style>
  <w:style w:type="character" w:customStyle="1" w:styleId="WW8Num3z0">
    <w:name w:val="WW8Num3z0"/>
    <w:rsid w:val="00795A46"/>
    <w:rPr>
      <w:rFonts w:ascii="Wingdings" w:hAnsi="Wingdings" w:cs="Wingdings" w:hint="default"/>
    </w:rPr>
  </w:style>
  <w:style w:type="character" w:customStyle="1" w:styleId="WW8Num4z0">
    <w:name w:val="WW8Num4z0"/>
    <w:rsid w:val="00795A46"/>
    <w:rPr>
      <w:rFonts w:ascii="Wingdings" w:hAnsi="Wingdings" w:cs="Wingdings" w:hint="default"/>
    </w:rPr>
  </w:style>
  <w:style w:type="character" w:customStyle="1" w:styleId="WW8Num4z1">
    <w:name w:val="WW8Num4z1"/>
    <w:rsid w:val="00795A46"/>
    <w:rPr>
      <w:rFonts w:ascii="OpenSymbol" w:hAnsi="OpenSymbol" w:cs="OpenSymbol" w:hint="default"/>
    </w:rPr>
  </w:style>
  <w:style w:type="character" w:customStyle="1" w:styleId="WW8Num7z0">
    <w:name w:val="WW8Num7z0"/>
    <w:rsid w:val="00795A46"/>
    <w:rPr>
      <w:rFonts w:ascii="Wingdings 2" w:hAnsi="Wingdings 2" w:cs="Wingdings 2" w:hint="default"/>
    </w:rPr>
  </w:style>
  <w:style w:type="character" w:customStyle="1" w:styleId="WW8Num8z1">
    <w:name w:val="WW8Num8z1"/>
    <w:rsid w:val="00795A46"/>
    <w:rPr>
      <w:rFonts w:ascii="Courier New" w:hAnsi="Courier New" w:cs="Courier New" w:hint="default"/>
    </w:rPr>
  </w:style>
  <w:style w:type="character" w:customStyle="1" w:styleId="WW8Num9z0">
    <w:name w:val="WW8Num9z0"/>
    <w:rsid w:val="00795A46"/>
    <w:rPr>
      <w:rFonts w:ascii="Wingdings" w:hAnsi="Wingdings" w:cs="Wingdings" w:hint="default"/>
      <w:sz w:val="24"/>
      <w:szCs w:val="24"/>
    </w:rPr>
  </w:style>
  <w:style w:type="character" w:customStyle="1" w:styleId="WW8Num10z0">
    <w:name w:val="WW8Num10z0"/>
    <w:rsid w:val="00795A46"/>
    <w:rPr>
      <w:rFonts w:ascii="Wingdings" w:hAnsi="Wingdings" w:cs="Wingdings" w:hint="default"/>
    </w:rPr>
  </w:style>
  <w:style w:type="character" w:customStyle="1" w:styleId="WW8Num11z0">
    <w:name w:val="WW8Num11z0"/>
    <w:rsid w:val="00795A46"/>
    <w:rPr>
      <w:rFonts w:ascii="Wingdings" w:hAnsi="Wingdings" w:cs="Wingdings" w:hint="default"/>
    </w:rPr>
  </w:style>
  <w:style w:type="character" w:customStyle="1" w:styleId="WW8Num12z0">
    <w:name w:val="WW8Num12z0"/>
    <w:rsid w:val="00795A46"/>
    <w:rPr>
      <w:rFonts w:ascii="Symbol" w:hAnsi="Symbol" w:cs="Symbol" w:hint="default"/>
      <w:sz w:val="24"/>
      <w:szCs w:val="24"/>
    </w:rPr>
  </w:style>
  <w:style w:type="character" w:customStyle="1" w:styleId="WW8Num13z0">
    <w:name w:val="WW8Num13z0"/>
    <w:rsid w:val="00795A46"/>
    <w:rPr>
      <w:rFonts w:ascii="Calibri" w:hAnsi="Calibri" w:cs="Calibri" w:hint="default"/>
    </w:rPr>
  </w:style>
  <w:style w:type="character" w:customStyle="1" w:styleId="WW8Num14z0">
    <w:name w:val="WW8Num14z0"/>
    <w:rsid w:val="00795A46"/>
    <w:rPr>
      <w:rFonts w:ascii="Symbol" w:hAnsi="Symbol" w:cs="Symbol" w:hint="default"/>
      <w:sz w:val="24"/>
      <w:szCs w:val="24"/>
    </w:rPr>
  </w:style>
  <w:style w:type="character" w:customStyle="1" w:styleId="WW8Num15z0">
    <w:name w:val="WW8Num15z0"/>
    <w:rsid w:val="00795A46"/>
    <w:rPr>
      <w:rFonts w:ascii="Wingdings" w:hAnsi="Wingdings" w:cs="Wingdings" w:hint="default"/>
    </w:rPr>
  </w:style>
  <w:style w:type="character" w:customStyle="1" w:styleId="WW8Num15z1">
    <w:name w:val="WW8Num15z1"/>
    <w:rsid w:val="00795A46"/>
    <w:rPr>
      <w:rFonts w:ascii="Courier New" w:hAnsi="Courier New" w:cs="Courier New" w:hint="default"/>
    </w:rPr>
  </w:style>
  <w:style w:type="character" w:customStyle="1" w:styleId="WW8Num15z2">
    <w:name w:val="WW8Num15z2"/>
    <w:rsid w:val="00795A46"/>
    <w:rPr>
      <w:rFonts w:ascii="Wingdings" w:hAnsi="Wingdings" w:cs="Wingdings" w:hint="default"/>
    </w:rPr>
  </w:style>
  <w:style w:type="character" w:customStyle="1" w:styleId="WW8Num15z3">
    <w:name w:val="WW8Num15z3"/>
    <w:rsid w:val="00795A46"/>
    <w:rPr>
      <w:rFonts w:ascii="Symbol" w:hAnsi="Symbol" w:cs="Symbol" w:hint="default"/>
    </w:rPr>
  </w:style>
  <w:style w:type="character" w:customStyle="1" w:styleId="WW8Num17z0">
    <w:name w:val="WW8Num17z0"/>
    <w:rsid w:val="00795A46"/>
    <w:rPr>
      <w:rFonts w:ascii="Wingdings" w:hAnsi="Wingdings" w:cs="Wingdings" w:hint="default"/>
    </w:rPr>
  </w:style>
  <w:style w:type="character" w:customStyle="1" w:styleId="WW8Num18z0">
    <w:name w:val="WW8Num18z0"/>
    <w:rsid w:val="00795A46"/>
    <w:rPr>
      <w:rFonts w:ascii="Wingdings" w:hAnsi="Wingdings" w:cs="Wingdings" w:hint="default"/>
    </w:rPr>
  </w:style>
  <w:style w:type="character" w:customStyle="1" w:styleId="WW8Num20z0">
    <w:name w:val="WW8Num20z0"/>
    <w:rsid w:val="00795A46"/>
    <w:rPr>
      <w:rFonts w:ascii="Wingdings" w:hAnsi="Wingdings" w:cs="Wingdings" w:hint="default"/>
    </w:rPr>
  </w:style>
  <w:style w:type="character" w:customStyle="1" w:styleId="Absatz-Standardschriftart">
    <w:name w:val="Absatz-Standardschriftart"/>
    <w:rsid w:val="00795A46"/>
  </w:style>
  <w:style w:type="character" w:customStyle="1" w:styleId="WW8Num16z0">
    <w:name w:val="WW8Num16z0"/>
    <w:rsid w:val="00795A46"/>
    <w:rPr>
      <w:rFonts w:ascii="Arial" w:hAnsi="Arial" w:cs="Arial" w:hint="default"/>
    </w:rPr>
  </w:style>
  <w:style w:type="character" w:customStyle="1" w:styleId="WW8Num16z1">
    <w:name w:val="WW8Num16z1"/>
    <w:rsid w:val="00795A46"/>
    <w:rPr>
      <w:rFonts w:ascii="Courier New" w:hAnsi="Courier New" w:cs="Courier New" w:hint="default"/>
    </w:rPr>
  </w:style>
  <w:style w:type="character" w:customStyle="1" w:styleId="WW8Num16z2">
    <w:name w:val="WW8Num16z2"/>
    <w:rsid w:val="00795A46"/>
    <w:rPr>
      <w:rFonts w:ascii="Wingdings" w:hAnsi="Wingdings" w:cs="Wingdings" w:hint="default"/>
    </w:rPr>
  </w:style>
  <w:style w:type="character" w:customStyle="1" w:styleId="WW8Num16z3">
    <w:name w:val="WW8Num16z3"/>
    <w:rsid w:val="00795A46"/>
    <w:rPr>
      <w:rFonts w:ascii="Symbol" w:hAnsi="Symbol" w:cs="Symbol" w:hint="default"/>
    </w:rPr>
  </w:style>
  <w:style w:type="character" w:customStyle="1" w:styleId="WW8Num19z0">
    <w:name w:val="WW8Num19z0"/>
    <w:rsid w:val="00795A46"/>
    <w:rPr>
      <w:rFonts w:ascii="Wingdings" w:hAnsi="Wingdings" w:cs="Wingdings" w:hint="default"/>
    </w:rPr>
  </w:style>
  <w:style w:type="character" w:customStyle="1" w:styleId="WW8Num21z0">
    <w:name w:val="WW8Num21z0"/>
    <w:rsid w:val="00795A46"/>
    <w:rPr>
      <w:rFonts w:ascii="Symbol" w:hAnsi="Symbol" w:cs="Symbol" w:hint="default"/>
      <w:sz w:val="24"/>
      <w:szCs w:val="24"/>
    </w:rPr>
  </w:style>
  <w:style w:type="character" w:customStyle="1" w:styleId="WW8Num21z1">
    <w:name w:val="WW8Num21z1"/>
    <w:rsid w:val="00795A46"/>
    <w:rPr>
      <w:rFonts w:ascii="Courier New" w:hAnsi="Courier New" w:cs="Courier New" w:hint="default"/>
    </w:rPr>
  </w:style>
  <w:style w:type="character" w:customStyle="1" w:styleId="WW8Num21z2">
    <w:name w:val="WW8Num21z2"/>
    <w:rsid w:val="00795A46"/>
    <w:rPr>
      <w:rFonts w:ascii="Wingdings" w:hAnsi="Wingdings" w:cs="Wingdings" w:hint="default"/>
    </w:rPr>
  </w:style>
  <w:style w:type="character" w:customStyle="1" w:styleId="Bekezdsalapbettpusa2">
    <w:name w:val="Bekezdés alapbetűtípusa2"/>
    <w:rsid w:val="00795A46"/>
  </w:style>
  <w:style w:type="character" w:customStyle="1" w:styleId="WW-Absatz-Standardschriftart">
    <w:name w:val="WW-Absatz-Standardschriftart"/>
    <w:rsid w:val="00795A46"/>
  </w:style>
  <w:style w:type="character" w:customStyle="1" w:styleId="WW8Num2z0">
    <w:name w:val="WW8Num2z0"/>
    <w:rsid w:val="00795A46"/>
    <w:rPr>
      <w:rFonts w:ascii="Wingdings" w:hAnsi="Wingdings" w:cs="Wingdings" w:hint="default"/>
    </w:rPr>
  </w:style>
  <w:style w:type="character" w:customStyle="1" w:styleId="WW8Num3z1">
    <w:name w:val="WW8Num3z1"/>
    <w:rsid w:val="00795A46"/>
    <w:rPr>
      <w:rFonts w:ascii="OpenSymbol" w:hAnsi="OpenSymbol" w:cs="OpenSymbol" w:hint="default"/>
    </w:rPr>
  </w:style>
  <w:style w:type="character" w:customStyle="1" w:styleId="WW8Num6z0">
    <w:name w:val="WW8Num6z0"/>
    <w:rsid w:val="00795A46"/>
    <w:rPr>
      <w:rFonts w:ascii="Wingdings" w:hAnsi="Wingdings" w:cs="Wingdings" w:hint="default"/>
    </w:rPr>
  </w:style>
  <w:style w:type="character" w:customStyle="1" w:styleId="WW8Num7z1">
    <w:name w:val="WW8Num7z1"/>
    <w:rsid w:val="00795A46"/>
    <w:rPr>
      <w:rFonts w:ascii="OpenSymbol" w:hAnsi="OpenSymbol" w:cs="OpenSymbol" w:hint="default"/>
    </w:rPr>
  </w:style>
  <w:style w:type="character" w:customStyle="1" w:styleId="WW8Num8z0">
    <w:name w:val="WW8Num8z0"/>
    <w:rsid w:val="00795A46"/>
    <w:rPr>
      <w:rFonts w:ascii="Wingdings" w:hAnsi="Wingdings" w:cs="Wingdings" w:hint="default"/>
    </w:rPr>
  </w:style>
  <w:style w:type="character" w:customStyle="1" w:styleId="WW-Absatz-Standardschriftart1">
    <w:name w:val="WW-Absatz-Standardschriftart1"/>
    <w:rsid w:val="00795A46"/>
  </w:style>
  <w:style w:type="character" w:customStyle="1" w:styleId="WW-Absatz-Standardschriftart11">
    <w:name w:val="WW-Absatz-Standardschriftart11"/>
    <w:rsid w:val="00795A46"/>
  </w:style>
  <w:style w:type="character" w:customStyle="1" w:styleId="WW-Absatz-Standardschriftart111">
    <w:name w:val="WW-Absatz-Standardschriftart111"/>
    <w:rsid w:val="00795A46"/>
  </w:style>
  <w:style w:type="character" w:customStyle="1" w:styleId="WW8Num5z0">
    <w:name w:val="WW8Num5z0"/>
    <w:rsid w:val="00795A46"/>
    <w:rPr>
      <w:rFonts w:ascii="Symbol" w:hAnsi="Symbol" w:cs="Symbol" w:hint="default"/>
    </w:rPr>
  </w:style>
  <w:style w:type="character" w:customStyle="1" w:styleId="WW8Num8z3">
    <w:name w:val="WW8Num8z3"/>
    <w:rsid w:val="00795A46"/>
    <w:rPr>
      <w:rFonts w:ascii="Symbol" w:hAnsi="Symbol" w:cs="Symbol" w:hint="default"/>
    </w:rPr>
  </w:style>
  <w:style w:type="character" w:customStyle="1" w:styleId="WW8Num9z1">
    <w:name w:val="WW8Num9z1"/>
    <w:rsid w:val="00795A46"/>
    <w:rPr>
      <w:rFonts w:ascii="Courier New" w:hAnsi="Courier New" w:cs="Courier New" w:hint="default"/>
    </w:rPr>
  </w:style>
  <w:style w:type="character" w:customStyle="1" w:styleId="WW8Num9z2">
    <w:name w:val="WW8Num9z2"/>
    <w:rsid w:val="00795A46"/>
    <w:rPr>
      <w:rFonts w:ascii="Wingdings" w:hAnsi="Wingdings" w:cs="Wingdings" w:hint="default"/>
    </w:rPr>
  </w:style>
  <w:style w:type="character" w:customStyle="1" w:styleId="WW8Num9z3">
    <w:name w:val="WW8Num9z3"/>
    <w:rsid w:val="00795A46"/>
    <w:rPr>
      <w:rFonts w:ascii="Symbol" w:hAnsi="Symbol" w:cs="Symbol" w:hint="default"/>
    </w:rPr>
  </w:style>
  <w:style w:type="character" w:customStyle="1" w:styleId="WW8Num13z1">
    <w:name w:val="WW8Num13z1"/>
    <w:rsid w:val="00795A46"/>
    <w:rPr>
      <w:rFonts w:ascii="Courier New" w:hAnsi="Courier New" w:cs="Courier New" w:hint="default"/>
    </w:rPr>
  </w:style>
  <w:style w:type="character" w:customStyle="1" w:styleId="WW8Num13z2">
    <w:name w:val="WW8Num13z2"/>
    <w:rsid w:val="00795A46"/>
    <w:rPr>
      <w:rFonts w:ascii="Wingdings" w:hAnsi="Wingdings" w:cs="Wingdings" w:hint="default"/>
    </w:rPr>
  </w:style>
  <w:style w:type="character" w:customStyle="1" w:styleId="WW8Num13z3">
    <w:name w:val="WW8Num13z3"/>
    <w:rsid w:val="00795A46"/>
    <w:rPr>
      <w:rFonts w:ascii="Symbol" w:hAnsi="Symbol" w:cs="Symbol" w:hint="default"/>
    </w:rPr>
  </w:style>
  <w:style w:type="character" w:customStyle="1" w:styleId="WW8Num17z1">
    <w:name w:val="WW8Num17z1"/>
    <w:rsid w:val="00795A46"/>
    <w:rPr>
      <w:rFonts w:ascii="Courier New" w:hAnsi="Courier New" w:cs="Courier New" w:hint="default"/>
    </w:rPr>
  </w:style>
  <w:style w:type="character" w:customStyle="1" w:styleId="WW8Num17z3">
    <w:name w:val="WW8Num17z3"/>
    <w:rsid w:val="00795A46"/>
    <w:rPr>
      <w:rFonts w:ascii="Symbol" w:hAnsi="Symbol" w:cs="Symbol" w:hint="default"/>
    </w:rPr>
  </w:style>
  <w:style w:type="character" w:customStyle="1" w:styleId="WW8Num18z1">
    <w:name w:val="WW8Num18z1"/>
    <w:rsid w:val="00795A46"/>
    <w:rPr>
      <w:rFonts w:ascii="Courier New" w:hAnsi="Courier New" w:cs="Courier New" w:hint="default"/>
    </w:rPr>
  </w:style>
  <w:style w:type="character" w:customStyle="1" w:styleId="WW8Num18z3">
    <w:name w:val="WW8Num18z3"/>
    <w:rsid w:val="00795A46"/>
    <w:rPr>
      <w:rFonts w:ascii="Symbol" w:hAnsi="Symbol" w:cs="Symbol" w:hint="default"/>
    </w:rPr>
  </w:style>
  <w:style w:type="character" w:customStyle="1" w:styleId="WW8Num19z1">
    <w:name w:val="WW8Num19z1"/>
    <w:rsid w:val="00795A46"/>
    <w:rPr>
      <w:rFonts w:ascii="Courier New" w:hAnsi="Courier New" w:cs="Courier New" w:hint="default"/>
    </w:rPr>
  </w:style>
  <w:style w:type="character" w:customStyle="1" w:styleId="WW8Num19z3">
    <w:name w:val="WW8Num19z3"/>
    <w:rsid w:val="00795A46"/>
    <w:rPr>
      <w:rFonts w:ascii="Symbol" w:hAnsi="Symbol" w:cs="Symbol" w:hint="default"/>
    </w:rPr>
  </w:style>
  <w:style w:type="character" w:customStyle="1" w:styleId="WW8Num20z1">
    <w:name w:val="WW8Num20z1"/>
    <w:rsid w:val="00795A46"/>
    <w:rPr>
      <w:rFonts w:ascii="Times New Roman" w:hAnsi="Times New Roman" w:cs="Times New Roman" w:hint="default"/>
    </w:rPr>
  </w:style>
  <w:style w:type="character" w:customStyle="1" w:styleId="WW8Num21z3">
    <w:name w:val="WW8Num21z3"/>
    <w:rsid w:val="00795A46"/>
    <w:rPr>
      <w:rFonts w:ascii="Symbol" w:hAnsi="Symbol" w:cs="Symbol" w:hint="default"/>
    </w:rPr>
  </w:style>
  <w:style w:type="character" w:customStyle="1" w:styleId="WW8Num22z0">
    <w:name w:val="WW8Num22z0"/>
    <w:rsid w:val="00795A46"/>
    <w:rPr>
      <w:rFonts w:ascii="Wingdings" w:hAnsi="Wingdings" w:cs="Wingdings" w:hint="default"/>
    </w:rPr>
  </w:style>
  <w:style w:type="character" w:customStyle="1" w:styleId="WW8Num22z1">
    <w:name w:val="WW8Num22z1"/>
    <w:rsid w:val="00795A46"/>
    <w:rPr>
      <w:rFonts w:ascii="Courier New" w:hAnsi="Courier New" w:cs="Courier New" w:hint="default"/>
    </w:rPr>
  </w:style>
  <w:style w:type="character" w:customStyle="1" w:styleId="WW8Num22z3">
    <w:name w:val="WW8Num22z3"/>
    <w:rsid w:val="00795A46"/>
    <w:rPr>
      <w:rFonts w:ascii="Symbol" w:hAnsi="Symbol" w:cs="Symbol" w:hint="default"/>
    </w:rPr>
  </w:style>
  <w:style w:type="character" w:customStyle="1" w:styleId="WW8Num23z0">
    <w:name w:val="WW8Num23z0"/>
    <w:rsid w:val="00795A46"/>
    <w:rPr>
      <w:rFonts w:ascii="Wingdings" w:hAnsi="Wingdings" w:cs="Wingdings" w:hint="default"/>
    </w:rPr>
  </w:style>
  <w:style w:type="character" w:customStyle="1" w:styleId="WW8Num23z1">
    <w:name w:val="WW8Num23z1"/>
    <w:rsid w:val="00795A46"/>
    <w:rPr>
      <w:rFonts w:ascii="Courier New" w:hAnsi="Courier New" w:cs="Courier New" w:hint="default"/>
    </w:rPr>
  </w:style>
  <w:style w:type="character" w:customStyle="1" w:styleId="WW8Num23z3">
    <w:name w:val="WW8Num23z3"/>
    <w:rsid w:val="00795A46"/>
    <w:rPr>
      <w:rFonts w:ascii="Symbol" w:hAnsi="Symbol" w:cs="Symbol" w:hint="default"/>
    </w:rPr>
  </w:style>
  <w:style w:type="character" w:customStyle="1" w:styleId="WW8Num24z0">
    <w:name w:val="WW8Num24z0"/>
    <w:rsid w:val="00795A46"/>
    <w:rPr>
      <w:rFonts w:ascii="Wingdings" w:hAnsi="Wingdings" w:cs="Wingdings" w:hint="default"/>
    </w:rPr>
  </w:style>
  <w:style w:type="character" w:customStyle="1" w:styleId="WW8Num24z1">
    <w:name w:val="WW8Num24z1"/>
    <w:rsid w:val="00795A46"/>
    <w:rPr>
      <w:rFonts w:ascii="Courier New" w:hAnsi="Courier New" w:cs="Courier New" w:hint="default"/>
    </w:rPr>
  </w:style>
  <w:style w:type="character" w:customStyle="1" w:styleId="WW8Num24z3">
    <w:name w:val="WW8Num24z3"/>
    <w:rsid w:val="00795A46"/>
    <w:rPr>
      <w:rFonts w:ascii="Symbol" w:hAnsi="Symbol" w:cs="Symbol" w:hint="default"/>
    </w:rPr>
  </w:style>
  <w:style w:type="character" w:customStyle="1" w:styleId="WW8Num25z0">
    <w:name w:val="WW8Num25z0"/>
    <w:rsid w:val="00795A46"/>
    <w:rPr>
      <w:rFonts w:ascii="Wingdings" w:hAnsi="Wingdings" w:cs="Wingdings" w:hint="default"/>
    </w:rPr>
  </w:style>
  <w:style w:type="character" w:customStyle="1" w:styleId="WW8Num25z1">
    <w:name w:val="WW8Num25z1"/>
    <w:rsid w:val="00795A46"/>
    <w:rPr>
      <w:rFonts w:ascii="Courier New" w:hAnsi="Courier New" w:cs="Courier New" w:hint="default"/>
    </w:rPr>
  </w:style>
  <w:style w:type="character" w:customStyle="1" w:styleId="WW8Num25z3">
    <w:name w:val="WW8Num25z3"/>
    <w:rsid w:val="00795A46"/>
    <w:rPr>
      <w:rFonts w:ascii="Symbol" w:hAnsi="Symbol" w:cs="Symbol" w:hint="default"/>
    </w:rPr>
  </w:style>
  <w:style w:type="character" w:customStyle="1" w:styleId="WW8Num27z0">
    <w:name w:val="WW8Num27z0"/>
    <w:rsid w:val="00795A46"/>
    <w:rPr>
      <w:rFonts w:ascii="Wingdings" w:hAnsi="Wingdings" w:cs="Wingdings" w:hint="default"/>
    </w:rPr>
  </w:style>
  <w:style w:type="character" w:customStyle="1" w:styleId="WW8Num27z1">
    <w:name w:val="WW8Num27z1"/>
    <w:rsid w:val="00795A46"/>
    <w:rPr>
      <w:rFonts w:ascii="Courier New" w:hAnsi="Courier New" w:cs="Courier New" w:hint="default"/>
    </w:rPr>
  </w:style>
  <w:style w:type="character" w:customStyle="1" w:styleId="WW8Num27z3">
    <w:name w:val="WW8Num27z3"/>
    <w:rsid w:val="00795A46"/>
    <w:rPr>
      <w:rFonts w:ascii="Symbol" w:hAnsi="Symbol" w:cs="Symbol" w:hint="default"/>
    </w:rPr>
  </w:style>
  <w:style w:type="character" w:customStyle="1" w:styleId="WW8Num28z0">
    <w:name w:val="WW8Num28z0"/>
    <w:rsid w:val="00795A46"/>
    <w:rPr>
      <w:rFonts w:ascii="Wingdings" w:hAnsi="Wingdings" w:cs="Wingdings" w:hint="default"/>
    </w:rPr>
  </w:style>
  <w:style w:type="character" w:customStyle="1" w:styleId="WW8Num28z1">
    <w:name w:val="WW8Num28z1"/>
    <w:rsid w:val="00795A46"/>
    <w:rPr>
      <w:rFonts w:ascii="Courier New" w:hAnsi="Courier New" w:cs="Courier New" w:hint="default"/>
    </w:rPr>
  </w:style>
  <w:style w:type="character" w:customStyle="1" w:styleId="WW8Num28z3">
    <w:name w:val="WW8Num28z3"/>
    <w:rsid w:val="00795A46"/>
    <w:rPr>
      <w:rFonts w:ascii="Symbol" w:hAnsi="Symbol" w:cs="Symbol" w:hint="default"/>
    </w:rPr>
  </w:style>
  <w:style w:type="character" w:customStyle="1" w:styleId="WW8Num29z0">
    <w:name w:val="WW8Num29z0"/>
    <w:rsid w:val="00795A46"/>
    <w:rPr>
      <w:rFonts w:ascii="Wingdings" w:hAnsi="Wingdings" w:cs="Wingdings" w:hint="default"/>
    </w:rPr>
  </w:style>
  <w:style w:type="character" w:customStyle="1" w:styleId="WW8Num29z1">
    <w:name w:val="WW8Num29z1"/>
    <w:rsid w:val="00795A46"/>
    <w:rPr>
      <w:rFonts w:ascii="Courier New" w:hAnsi="Courier New" w:cs="Courier New" w:hint="default"/>
    </w:rPr>
  </w:style>
  <w:style w:type="character" w:customStyle="1" w:styleId="WW8Num29z3">
    <w:name w:val="WW8Num29z3"/>
    <w:rsid w:val="00795A46"/>
    <w:rPr>
      <w:rFonts w:ascii="Symbol" w:hAnsi="Symbol" w:cs="Symbol" w:hint="default"/>
    </w:rPr>
  </w:style>
  <w:style w:type="character" w:customStyle="1" w:styleId="WW8Num30z0">
    <w:name w:val="WW8Num30z0"/>
    <w:rsid w:val="00795A46"/>
    <w:rPr>
      <w:rFonts w:ascii="Wingdings" w:hAnsi="Wingdings" w:cs="Wingdings" w:hint="default"/>
    </w:rPr>
  </w:style>
  <w:style w:type="character" w:customStyle="1" w:styleId="WW8Num30z1">
    <w:name w:val="WW8Num30z1"/>
    <w:rsid w:val="00795A46"/>
    <w:rPr>
      <w:rFonts w:ascii="Courier New" w:hAnsi="Courier New" w:cs="Courier New" w:hint="default"/>
    </w:rPr>
  </w:style>
  <w:style w:type="character" w:customStyle="1" w:styleId="WW8Num30z3">
    <w:name w:val="WW8Num30z3"/>
    <w:rsid w:val="00795A46"/>
    <w:rPr>
      <w:rFonts w:ascii="Symbol" w:hAnsi="Symbol" w:cs="Symbol" w:hint="default"/>
    </w:rPr>
  </w:style>
  <w:style w:type="character" w:customStyle="1" w:styleId="WW8Num31z0">
    <w:name w:val="WW8Num31z0"/>
    <w:rsid w:val="00795A46"/>
    <w:rPr>
      <w:rFonts w:ascii="Times New Roman" w:hAnsi="Times New Roman" w:cs="Times New Roman" w:hint="default"/>
    </w:rPr>
  </w:style>
  <w:style w:type="character" w:customStyle="1" w:styleId="WW8Num31z1">
    <w:name w:val="WW8Num31z1"/>
    <w:rsid w:val="00795A46"/>
    <w:rPr>
      <w:rFonts w:ascii="Courier New" w:hAnsi="Courier New" w:cs="Courier New" w:hint="default"/>
    </w:rPr>
  </w:style>
  <w:style w:type="character" w:customStyle="1" w:styleId="WW8Num31z2">
    <w:name w:val="WW8Num31z2"/>
    <w:rsid w:val="00795A46"/>
    <w:rPr>
      <w:rFonts w:ascii="Wingdings" w:hAnsi="Wingdings" w:cs="Wingdings" w:hint="default"/>
    </w:rPr>
  </w:style>
  <w:style w:type="character" w:customStyle="1" w:styleId="WW8Num31z3">
    <w:name w:val="WW8Num31z3"/>
    <w:rsid w:val="00795A46"/>
    <w:rPr>
      <w:rFonts w:ascii="Symbol" w:hAnsi="Symbol" w:cs="Symbol" w:hint="default"/>
    </w:rPr>
  </w:style>
  <w:style w:type="character" w:customStyle="1" w:styleId="WW8Num32z0">
    <w:name w:val="WW8Num32z0"/>
    <w:rsid w:val="00795A46"/>
    <w:rPr>
      <w:rFonts w:ascii="Wingdings" w:hAnsi="Wingdings" w:cs="Wingdings" w:hint="default"/>
    </w:rPr>
  </w:style>
  <w:style w:type="character" w:customStyle="1" w:styleId="WW8Num32z1">
    <w:name w:val="WW8Num32z1"/>
    <w:rsid w:val="00795A46"/>
    <w:rPr>
      <w:rFonts w:ascii="Courier New" w:hAnsi="Courier New" w:cs="Courier New" w:hint="default"/>
    </w:rPr>
  </w:style>
  <w:style w:type="character" w:customStyle="1" w:styleId="WW8Num32z3">
    <w:name w:val="WW8Num32z3"/>
    <w:rsid w:val="00795A46"/>
    <w:rPr>
      <w:rFonts w:ascii="Symbol" w:hAnsi="Symbol" w:cs="Symbol" w:hint="default"/>
    </w:rPr>
  </w:style>
  <w:style w:type="character" w:customStyle="1" w:styleId="WW8Num34z0">
    <w:name w:val="WW8Num34z0"/>
    <w:rsid w:val="00795A46"/>
    <w:rPr>
      <w:rFonts w:ascii="Wingdings" w:hAnsi="Wingdings" w:cs="Wingdings" w:hint="default"/>
    </w:rPr>
  </w:style>
  <w:style w:type="character" w:customStyle="1" w:styleId="WW8Num35z0">
    <w:name w:val="WW8Num35z0"/>
    <w:rsid w:val="00795A46"/>
    <w:rPr>
      <w:rFonts w:ascii="Symbol" w:hAnsi="Symbol" w:cs="Symbol" w:hint="default"/>
      <w:sz w:val="24"/>
      <w:szCs w:val="24"/>
    </w:rPr>
  </w:style>
  <w:style w:type="character" w:customStyle="1" w:styleId="WW8Num35z1">
    <w:name w:val="WW8Num35z1"/>
    <w:rsid w:val="00795A46"/>
    <w:rPr>
      <w:rFonts w:ascii="Courier New" w:hAnsi="Courier New" w:cs="Courier New" w:hint="default"/>
    </w:rPr>
  </w:style>
  <w:style w:type="character" w:customStyle="1" w:styleId="WW8Num35z2">
    <w:name w:val="WW8Num35z2"/>
    <w:rsid w:val="00795A46"/>
    <w:rPr>
      <w:rFonts w:ascii="Wingdings" w:hAnsi="Wingdings" w:cs="Wingdings" w:hint="default"/>
    </w:rPr>
  </w:style>
  <w:style w:type="character" w:customStyle="1" w:styleId="WW8Num35z3">
    <w:name w:val="WW8Num35z3"/>
    <w:rsid w:val="00795A46"/>
    <w:rPr>
      <w:rFonts w:ascii="Symbol" w:hAnsi="Symbol" w:cs="Symbol" w:hint="default"/>
    </w:rPr>
  </w:style>
  <w:style w:type="character" w:customStyle="1" w:styleId="WW8Num36z0">
    <w:name w:val="WW8Num36z0"/>
    <w:rsid w:val="00795A46"/>
    <w:rPr>
      <w:rFonts w:ascii="Wingdings" w:hAnsi="Wingdings" w:cs="Wingdings" w:hint="default"/>
    </w:rPr>
  </w:style>
  <w:style w:type="character" w:customStyle="1" w:styleId="WW8Num36z1">
    <w:name w:val="WW8Num36z1"/>
    <w:rsid w:val="00795A46"/>
    <w:rPr>
      <w:rFonts w:ascii="Courier New" w:hAnsi="Courier New" w:cs="Courier New" w:hint="default"/>
    </w:rPr>
  </w:style>
  <w:style w:type="character" w:customStyle="1" w:styleId="WW8Num36z2">
    <w:name w:val="WW8Num36z2"/>
    <w:rsid w:val="00795A46"/>
    <w:rPr>
      <w:rFonts w:ascii="Wingdings" w:hAnsi="Wingdings" w:cs="Wingdings" w:hint="default"/>
    </w:rPr>
  </w:style>
  <w:style w:type="character" w:customStyle="1" w:styleId="WW8Num36z3">
    <w:name w:val="WW8Num36z3"/>
    <w:rsid w:val="00795A46"/>
    <w:rPr>
      <w:rFonts w:ascii="Symbol" w:hAnsi="Symbol" w:cs="Symbol" w:hint="default"/>
    </w:rPr>
  </w:style>
  <w:style w:type="character" w:customStyle="1" w:styleId="WW8Num37z0">
    <w:name w:val="WW8Num37z0"/>
    <w:rsid w:val="00795A46"/>
    <w:rPr>
      <w:rFonts w:ascii="Symbol" w:hAnsi="Symbol" w:cs="Symbol" w:hint="default"/>
      <w:sz w:val="24"/>
      <w:szCs w:val="24"/>
    </w:rPr>
  </w:style>
  <w:style w:type="character" w:customStyle="1" w:styleId="WW8Num37z1">
    <w:name w:val="WW8Num37z1"/>
    <w:rsid w:val="00795A46"/>
    <w:rPr>
      <w:rFonts w:ascii="Courier New" w:hAnsi="Courier New" w:cs="Courier New" w:hint="default"/>
    </w:rPr>
  </w:style>
  <w:style w:type="character" w:customStyle="1" w:styleId="WW8Num37z2">
    <w:name w:val="WW8Num37z2"/>
    <w:rsid w:val="00795A46"/>
    <w:rPr>
      <w:rFonts w:ascii="Wingdings" w:hAnsi="Wingdings" w:cs="Wingdings" w:hint="default"/>
    </w:rPr>
  </w:style>
  <w:style w:type="character" w:customStyle="1" w:styleId="WW8Num37z3">
    <w:name w:val="WW8Num37z3"/>
    <w:rsid w:val="00795A46"/>
    <w:rPr>
      <w:rFonts w:ascii="Symbol" w:hAnsi="Symbol" w:cs="Symbol" w:hint="default"/>
    </w:rPr>
  </w:style>
  <w:style w:type="character" w:customStyle="1" w:styleId="WW8Num38z0">
    <w:name w:val="WW8Num38z0"/>
    <w:rsid w:val="00795A46"/>
    <w:rPr>
      <w:rFonts w:ascii="Arial" w:hAnsi="Arial" w:cs="Arial" w:hint="default"/>
    </w:rPr>
  </w:style>
  <w:style w:type="character" w:customStyle="1" w:styleId="WW8Num38z1">
    <w:name w:val="WW8Num38z1"/>
    <w:rsid w:val="00795A46"/>
    <w:rPr>
      <w:rFonts w:ascii="Courier New" w:hAnsi="Courier New" w:cs="Courier New" w:hint="default"/>
    </w:rPr>
  </w:style>
  <w:style w:type="character" w:customStyle="1" w:styleId="WW8Num38z2">
    <w:name w:val="WW8Num38z2"/>
    <w:rsid w:val="00795A46"/>
    <w:rPr>
      <w:rFonts w:ascii="Wingdings" w:hAnsi="Wingdings" w:cs="Wingdings" w:hint="default"/>
    </w:rPr>
  </w:style>
  <w:style w:type="character" w:customStyle="1" w:styleId="WW8Num38z3">
    <w:name w:val="WW8Num38z3"/>
    <w:rsid w:val="00795A46"/>
    <w:rPr>
      <w:rFonts w:ascii="Symbol" w:hAnsi="Symbol" w:cs="Symbol" w:hint="default"/>
    </w:rPr>
  </w:style>
  <w:style w:type="character" w:customStyle="1" w:styleId="WW8Num39z0">
    <w:name w:val="WW8Num39z0"/>
    <w:rsid w:val="00795A46"/>
    <w:rPr>
      <w:rFonts w:ascii="Wingdings" w:hAnsi="Wingdings" w:cs="Wingdings" w:hint="default"/>
    </w:rPr>
  </w:style>
  <w:style w:type="character" w:customStyle="1" w:styleId="WW8Num39z1">
    <w:name w:val="WW8Num39z1"/>
    <w:rsid w:val="00795A46"/>
    <w:rPr>
      <w:rFonts w:ascii="Courier New" w:hAnsi="Courier New" w:cs="Courier New" w:hint="default"/>
    </w:rPr>
  </w:style>
  <w:style w:type="character" w:customStyle="1" w:styleId="WW8Num39z3">
    <w:name w:val="WW8Num39z3"/>
    <w:rsid w:val="00795A46"/>
    <w:rPr>
      <w:rFonts w:ascii="Symbol" w:hAnsi="Symbol" w:cs="Symbol" w:hint="default"/>
    </w:rPr>
  </w:style>
  <w:style w:type="character" w:customStyle="1" w:styleId="Bekezdsalapbettpusa1">
    <w:name w:val="Bekezdés alapbetűtípusa1"/>
    <w:rsid w:val="00795A46"/>
  </w:style>
  <w:style w:type="character" w:customStyle="1" w:styleId="CharChar13">
    <w:name w:val="Char Char13"/>
    <w:rsid w:val="00795A46"/>
    <w:rPr>
      <w:rFonts w:ascii="Calibri" w:hAnsi="Calibri" w:cs="Calibri" w:hint="default"/>
      <w:b/>
      <w:bCs/>
      <w:sz w:val="28"/>
      <w:szCs w:val="28"/>
      <w:lang w:val="hu-HU" w:eastAsia="ar-SA" w:bidi="ar-SA"/>
    </w:rPr>
  </w:style>
  <w:style w:type="character" w:customStyle="1" w:styleId="CharChar12">
    <w:name w:val="Char Char12"/>
    <w:rsid w:val="00795A46"/>
    <w:rPr>
      <w:rFonts w:ascii="Book Antiqua" w:hAnsi="Book Antiqua" w:cs="Book Antiqua" w:hint="default"/>
      <w:b/>
      <w:bCs/>
      <w:sz w:val="24"/>
      <w:szCs w:val="24"/>
      <w:lang w:val="hu-HU" w:eastAsia="ar-SA" w:bidi="ar-SA"/>
    </w:rPr>
  </w:style>
  <w:style w:type="character" w:customStyle="1" w:styleId="CharChar11">
    <w:name w:val="Char Char11"/>
    <w:rsid w:val="00795A46"/>
    <w:rPr>
      <w:rFonts w:ascii="Calibri" w:hAnsi="Calibri" w:cs="Calibri" w:hint="default"/>
      <w:b/>
      <w:bCs/>
      <w:sz w:val="26"/>
      <w:szCs w:val="26"/>
      <w:lang w:val="hu-HU" w:eastAsia="ar-SA" w:bidi="ar-SA"/>
    </w:rPr>
  </w:style>
  <w:style w:type="character" w:customStyle="1" w:styleId="CharChar10">
    <w:name w:val="Char Char10"/>
    <w:rsid w:val="00795A46"/>
    <w:rPr>
      <w:rFonts w:ascii="Calibri" w:hAnsi="Calibri" w:cs="Calibri" w:hint="default"/>
      <w:sz w:val="28"/>
      <w:szCs w:val="28"/>
      <w:lang w:val="hu-HU" w:eastAsia="ar-SA" w:bidi="ar-SA"/>
    </w:rPr>
  </w:style>
  <w:style w:type="character" w:customStyle="1" w:styleId="CharChar9">
    <w:name w:val="Char Char9"/>
    <w:rsid w:val="00795A46"/>
    <w:rPr>
      <w:rFonts w:ascii="Calibri" w:hAnsi="Calibri" w:cs="Calibri" w:hint="default"/>
      <w:b/>
      <w:bCs/>
      <w:i/>
      <w:iCs/>
      <w:sz w:val="26"/>
      <w:szCs w:val="26"/>
      <w:lang w:val="hu-HU" w:eastAsia="ar-SA" w:bidi="ar-SA"/>
    </w:rPr>
  </w:style>
  <w:style w:type="character" w:customStyle="1" w:styleId="CharChar8">
    <w:name w:val="Char Char8"/>
    <w:rsid w:val="00795A46"/>
    <w:rPr>
      <w:rFonts w:ascii="Calibri" w:hAnsi="Calibri" w:cs="Calibri" w:hint="default"/>
      <w:b/>
      <w:bCs/>
      <w:sz w:val="22"/>
      <w:szCs w:val="22"/>
      <w:lang w:val="hu-HU" w:eastAsia="ar-SA" w:bidi="ar-SA"/>
    </w:rPr>
  </w:style>
  <w:style w:type="character" w:customStyle="1" w:styleId="CharChar7">
    <w:name w:val="Char Char7"/>
    <w:rsid w:val="00795A46"/>
    <w:rPr>
      <w:rFonts w:ascii="Calibri" w:hAnsi="Calibri" w:cs="Calibri" w:hint="default"/>
      <w:sz w:val="24"/>
      <w:szCs w:val="24"/>
      <w:lang w:val="hu-HU" w:eastAsia="ar-SA" w:bidi="ar-SA"/>
    </w:rPr>
  </w:style>
  <w:style w:type="character" w:customStyle="1" w:styleId="CharChar6">
    <w:name w:val="Char Char6"/>
    <w:rsid w:val="00795A46"/>
    <w:rPr>
      <w:rFonts w:ascii="Calibri" w:hAnsi="Calibri" w:cs="Calibri" w:hint="default"/>
      <w:i/>
      <w:iCs/>
      <w:sz w:val="24"/>
      <w:szCs w:val="24"/>
      <w:lang w:val="hu-HU" w:eastAsia="ar-SA" w:bidi="ar-SA"/>
    </w:rPr>
  </w:style>
  <w:style w:type="character" w:customStyle="1" w:styleId="CharChar5">
    <w:name w:val="Char Char5"/>
    <w:rsid w:val="00795A46"/>
    <w:rPr>
      <w:rFonts w:ascii="Cambria" w:hAnsi="Cambria" w:cs="Cambria" w:hint="default"/>
      <w:sz w:val="22"/>
      <w:szCs w:val="22"/>
      <w:lang w:val="hu-HU" w:eastAsia="ar-SA" w:bidi="ar-SA"/>
    </w:rPr>
  </w:style>
  <w:style w:type="character" w:customStyle="1" w:styleId="CharChar4">
    <w:name w:val="Char Char4"/>
    <w:rsid w:val="00795A46"/>
    <w:rPr>
      <w:rFonts w:ascii="Cambria" w:hAnsi="Cambria" w:cs="Cambria" w:hint="default"/>
      <w:b/>
      <w:bCs/>
      <w:kern w:val="2"/>
      <w:sz w:val="32"/>
      <w:szCs w:val="32"/>
      <w:lang w:val="hu-HU" w:eastAsia="ar-SA" w:bidi="ar-SA"/>
    </w:rPr>
  </w:style>
  <w:style w:type="character" w:customStyle="1" w:styleId="CharChar3">
    <w:name w:val="Char Char3"/>
    <w:rsid w:val="00795A46"/>
    <w:rPr>
      <w:rFonts w:ascii="Cambria" w:hAnsi="Cambria" w:cs="Cambria" w:hint="default"/>
      <w:sz w:val="24"/>
      <w:szCs w:val="24"/>
      <w:lang w:val="hu-HU" w:eastAsia="ar-SA" w:bidi="ar-SA"/>
    </w:rPr>
  </w:style>
  <w:style w:type="character" w:customStyle="1" w:styleId="NincstrkzChar">
    <w:name w:val="Nincs térköz Char"/>
    <w:rsid w:val="00795A46"/>
    <w:rPr>
      <w:rFonts w:ascii="Calibri" w:hAnsi="Calibri" w:cs="Calibri" w:hint="default"/>
      <w:sz w:val="22"/>
      <w:szCs w:val="22"/>
      <w:lang w:val="hu-HU" w:eastAsia="ar-SA" w:bidi="ar-SA"/>
    </w:rPr>
  </w:style>
  <w:style w:type="character" w:customStyle="1" w:styleId="WW-Ershangslyozs">
    <w:name w:val="WW-Erős hangsúlyozás"/>
    <w:rsid w:val="00795A46"/>
    <w:rPr>
      <w:b/>
      <w:bCs/>
      <w:i/>
      <w:iCs/>
      <w:color w:val="4F81BD"/>
    </w:rPr>
  </w:style>
  <w:style w:type="character" w:customStyle="1" w:styleId="Stlus1Char">
    <w:name w:val="Stílus1 Char"/>
    <w:basedOn w:val="CharChar12"/>
    <w:rsid w:val="00795A46"/>
    <w:rPr>
      <w:rFonts w:ascii="Book Antiqua" w:hAnsi="Book Antiqua" w:cs="Book Antiqua" w:hint="default"/>
      <w:b/>
      <w:bCs/>
      <w:sz w:val="24"/>
      <w:szCs w:val="24"/>
      <w:lang w:val="hu-HU" w:eastAsia="ar-SA" w:bidi="ar-SA"/>
    </w:rPr>
  </w:style>
  <w:style w:type="character" w:customStyle="1" w:styleId="lbjegyzetszvegCharChar1">
    <w:name w:val="lábjegyzetszöveg Char Char1"/>
    <w:rsid w:val="00795A46"/>
    <w:rPr>
      <w:rFonts w:ascii="Arial" w:hAnsi="Arial" w:cs="Arial" w:hint="default"/>
      <w:lang w:val="fr-FR" w:eastAsia="ar-SA" w:bidi="ar-SA"/>
    </w:rPr>
  </w:style>
  <w:style w:type="character" w:customStyle="1" w:styleId="CharChar">
    <w:name w:val="Char Char"/>
    <w:rsid w:val="00795A46"/>
    <w:rPr>
      <w:rFonts w:ascii="Arial" w:hAnsi="Arial" w:cs="Arial" w:hint="default"/>
      <w:sz w:val="24"/>
      <w:szCs w:val="24"/>
      <w:lang w:val="hu-HU" w:eastAsia="ar-SA" w:bidi="ar-SA"/>
    </w:rPr>
  </w:style>
  <w:style w:type="character" w:customStyle="1" w:styleId="CharChar2">
    <w:name w:val="Char Char2"/>
    <w:rsid w:val="00795A46"/>
    <w:rPr>
      <w:rFonts w:ascii="Arial" w:hAnsi="Arial" w:cs="Arial" w:hint="default"/>
      <w:sz w:val="24"/>
      <w:szCs w:val="24"/>
      <w:lang w:val="en-US" w:eastAsia="ar-SA" w:bidi="ar-SA"/>
    </w:rPr>
  </w:style>
  <w:style w:type="character" w:customStyle="1" w:styleId="CharChar1">
    <w:name w:val="Char Char1"/>
    <w:rsid w:val="00795A46"/>
    <w:rPr>
      <w:rFonts w:ascii="Arial" w:hAnsi="Arial" w:cs="Arial" w:hint="default"/>
      <w:lang w:val="hu-HU" w:eastAsia="ar-SA" w:bidi="ar-SA"/>
    </w:rPr>
  </w:style>
  <w:style w:type="character" w:customStyle="1" w:styleId="Char15CharChar">
    <w:name w:val="Char15 Char Char"/>
    <w:rsid w:val="00795A46"/>
    <w:rPr>
      <w:rFonts w:ascii="Tahoma" w:hAnsi="Tahoma" w:cs="Tahoma" w:hint="default"/>
      <w:sz w:val="16"/>
      <w:szCs w:val="16"/>
      <w:lang w:val="hu-HU" w:eastAsia="ar-SA" w:bidi="ar-SA"/>
    </w:rPr>
  </w:style>
  <w:style w:type="character" w:customStyle="1" w:styleId="Char14CharChar">
    <w:name w:val="Char14 Char Char"/>
    <w:rsid w:val="00795A46"/>
    <w:rPr>
      <w:rFonts w:ascii="Arial" w:hAnsi="Arial" w:cs="Arial" w:hint="default"/>
      <w:lang w:val="hu-HU" w:eastAsia="ar-SA" w:bidi="ar-SA"/>
    </w:rPr>
  </w:style>
  <w:style w:type="character" w:customStyle="1" w:styleId="Vgjegyzet-karakterek">
    <w:name w:val="Végjegyzet-karakterek"/>
    <w:rsid w:val="00795A46"/>
    <w:rPr>
      <w:vertAlign w:val="superscript"/>
    </w:rPr>
  </w:style>
  <w:style w:type="character" w:customStyle="1" w:styleId="Jegyzethivatkozs1">
    <w:name w:val="Jegyzethivatkozás1"/>
    <w:rsid w:val="00795A46"/>
    <w:rPr>
      <w:sz w:val="16"/>
      <w:szCs w:val="16"/>
    </w:rPr>
  </w:style>
  <w:style w:type="character" w:customStyle="1" w:styleId="lbjegyzetszvegCharChar">
    <w:name w:val="lábjegyzetszöveg Char Char"/>
    <w:basedOn w:val="Bekezdsalapbettpusa1"/>
    <w:rsid w:val="00795A46"/>
  </w:style>
  <w:style w:type="character" w:customStyle="1" w:styleId="link">
    <w:name w:val="link"/>
    <w:basedOn w:val="Bekezdsalapbettpusa1"/>
    <w:rsid w:val="00795A46"/>
  </w:style>
  <w:style w:type="character" w:customStyle="1" w:styleId="StlusNormlCalibri11TimesNewRoman11ptChar">
    <w:name w:val="Stílus Normál + Calibri 11 + Times New Roman 11 pt Char"/>
    <w:rsid w:val="00795A46"/>
    <w:rPr>
      <w:sz w:val="24"/>
      <w:szCs w:val="24"/>
      <w:lang w:val="hu-HU" w:eastAsia="ar-SA" w:bidi="ar-SA"/>
    </w:rPr>
  </w:style>
  <w:style w:type="character" w:customStyle="1" w:styleId="NormlCalibri11Char">
    <w:name w:val="Normál + Calibri 11 Char"/>
    <w:rsid w:val="00795A46"/>
    <w:rPr>
      <w:rFonts w:ascii="Book Antiqua" w:hAnsi="Book Antiqua" w:cs="Book Antiqua" w:hint="default"/>
      <w:b/>
      <w:bCs/>
      <w:sz w:val="24"/>
      <w:szCs w:val="24"/>
      <w:lang w:val="hu-HU" w:eastAsia="ar-SA" w:bidi="ar-SA"/>
    </w:rPr>
  </w:style>
  <w:style w:type="character" w:customStyle="1" w:styleId="StlusNormlCalibri1111ptChar">
    <w:name w:val="Stílus Normál + Calibri 11 + 11 pt Char"/>
    <w:rsid w:val="00795A46"/>
    <w:rPr>
      <w:rFonts w:ascii="Book Antiqua" w:hAnsi="Book Antiqua" w:cs="Book Antiqua" w:hint="default"/>
      <w:b/>
      <w:bCs/>
      <w:sz w:val="24"/>
      <w:szCs w:val="24"/>
      <w:lang w:val="hu-HU" w:eastAsia="ar-SA" w:bidi="ar-SA"/>
    </w:rPr>
  </w:style>
  <w:style w:type="character" w:customStyle="1" w:styleId="highlight">
    <w:name w:val="highlight"/>
    <w:basedOn w:val="Bekezdsalapbettpusa1"/>
    <w:rsid w:val="00795A46"/>
  </w:style>
  <w:style w:type="character" w:customStyle="1" w:styleId="maskwindow">
    <w:name w:val="maskwindow"/>
    <w:basedOn w:val="Bekezdsalapbettpusa1"/>
    <w:rsid w:val="00795A46"/>
  </w:style>
  <w:style w:type="character" w:customStyle="1" w:styleId="hChar">
    <w:name w:val="h Char"/>
    <w:rsid w:val="00795A46"/>
    <w:rPr>
      <w:rFonts w:ascii="Verdana" w:hAnsi="Verdana" w:cs="Verdana" w:hint="default"/>
      <w:sz w:val="24"/>
      <w:szCs w:val="24"/>
      <w:lang w:val="hu-HU" w:eastAsia="ar-SA" w:bidi="ar-SA"/>
    </w:rPr>
  </w:style>
  <w:style w:type="character" w:customStyle="1" w:styleId="WW-Lbjegyzet-karakterek">
    <w:name w:val="WW-Lábjegyzet-karakterek"/>
    <w:rsid w:val="00795A46"/>
    <w:rPr>
      <w:vertAlign w:val="superscript"/>
    </w:rPr>
  </w:style>
  <w:style w:type="character" w:customStyle="1" w:styleId="Lbjegyzet-hivatkozs1">
    <w:name w:val="Lábjegyzet-hivatkozás1"/>
    <w:rsid w:val="00795A46"/>
    <w:rPr>
      <w:vertAlign w:val="superscript"/>
    </w:rPr>
  </w:style>
  <w:style w:type="character" w:customStyle="1" w:styleId="Vgjegyzet-hivatkozs1">
    <w:name w:val="Végjegyzet-hivatkozás1"/>
    <w:rsid w:val="00795A46"/>
    <w:rPr>
      <w:vertAlign w:val="superscript"/>
    </w:rPr>
  </w:style>
  <w:style w:type="character" w:customStyle="1" w:styleId="Szmozsjelek">
    <w:name w:val="Számozásjelek"/>
    <w:rsid w:val="00795A46"/>
  </w:style>
  <w:style w:type="paragraph" w:styleId="Megjegyzstrgya">
    <w:name w:val="annotation subject"/>
    <w:basedOn w:val="Jegyzetszveg"/>
    <w:next w:val="Jegyzetszveg"/>
    <w:link w:val="MegjegyzstrgyaChar"/>
    <w:semiHidden/>
    <w:unhideWhenUsed/>
    <w:rsid w:val="00795A46"/>
    <w:rPr>
      <w:b/>
      <w:bCs/>
    </w:rPr>
  </w:style>
  <w:style w:type="character" w:customStyle="1" w:styleId="MegjegyzstrgyaChar">
    <w:name w:val="Megjegyzés tárgya Char"/>
    <w:basedOn w:val="JegyzetszvegChar"/>
    <w:link w:val="Megjegyzstrgya"/>
    <w:semiHidden/>
    <w:rsid w:val="00795A46"/>
    <w:rPr>
      <w:rFonts w:ascii="Calibri" w:eastAsia="Times New Roman" w:hAnsi="Calibri" w:cs="Calibri"/>
      <w:b/>
      <w:bCs/>
      <w:sz w:val="20"/>
      <w:szCs w:val="20"/>
      <w:lang w:eastAsia="ar-SA"/>
    </w:rPr>
  </w:style>
  <w:style w:type="character" w:customStyle="1" w:styleId="personname">
    <w:name w:val="person_name"/>
    <w:rsid w:val="00795A46"/>
  </w:style>
  <w:style w:type="character" w:customStyle="1" w:styleId="para">
    <w:name w:val="para"/>
    <w:rsid w:val="00795A46"/>
  </w:style>
  <w:style w:type="character" w:customStyle="1" w:styleId="idx">
    <w:name w:val="idx"/>
    <w:rsid w:val="00795A46"/>
  </w:style>
  <w:style w:type="table" w:styleId="Rcsostblzat">
    <w:name w:val="Table Grid"/>
    <w:basedOn w:val="Normltblzat"/>
    <w:uiPriority w:val="39"/>
    <w:rsid w:val="00795A46"/>
    <w:pPr>
      <w:spacing w:after="0" w:line="240" w:lineRule="auto"/>
    </w:pPr>
    <w:rPr>
      <w:rFonts w:ascii="Times New Roman" w:eastAsia="Times New Roman" w:hAnsi="Times New Roman" w:cs="Times New Roman"/>
      <w:sz w:val="20"/>
      <w:szCs w:val="20"/>
      <w:lang w:eastAsia="hu-H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J9">
    <w:name w:val="toc 9"/>
    <w:basedOn w:val="Trgymutat"/>
    <w:autoRedefine/>
    <w:semiHidden/>
    <w:unhideWhenUsed/>
    <w:rsid w:val="00795A46"/>
    <w:pPr>
      <w:tabs>
        <w:tab w:val="right" w:leader="dot" w:pos="7374"/>
      </w:tabs>
      <w:ind w:left="2264"/>
    </w:pPr>
  </w:style>
  <w:style w:type="paragraph" w:styleId="TJ8">
    <w:name w:val="toc 8"/>
    <w:basedOn w:val="Trgymutat"/>
    <w:autoRedefine/>
    <w:semiHidden/>
    <w:unhideWhenUsed/>
    <w:rsid w:val="00795A46"/>
    <w:pPr>
      <w:tabs>
        <w:tab w:val="right" w:leader="dot" w:pos="7657"/>
      </w:tabs>
      <w:ind w:left="1981"/>
    </w:pPr>
  </w:style>
  <w:style w:type="paragraph" w:styleId="TJ7">
    <w:name w:val="toc 7"/>
    <w:basedOn w:val="Trgymutat"/>
    <w:autoRedefine/>
    <w:semiHidden/>
    <w:unhideWhenUsed/>
    <w:rsid w:val="00795A46"/>
    <w:pPr>
      <w:tabs>
        <w:tab w:val="right" w:leader="dot" w:pos="7940"/>
      </w:tabs>
      <w:ind w:left="1698"/>
    </w:pPr>
  </w:style>
  <w:style w:type="paragraph" w:styleId="TJ6">
    <w:name w:val="toc 6"/>
    <w:basedOn w:val="Trgymutat"/>
    <w:autoRedefine/>
    <w:semiHidden/>
    <w:unhideWhenUsed/>
    <w:rsid w:val="00795A46"/>
    <w:pPr>
      <w:tabs>
        <w:tab w:val="right" w:leader="dot" w:pos="8223"/>
      </w:tabs>
      <w:ind w:left="1415"/>
    </w:pPr>
  </w:style>
  <w:style w:type="paragraph" w:styleId="TJ5">
    <w:name w:val="toc 5"/>
    <w:basedOn w:val="Trgymutat"/>
    <w:autoRedefine/>
    <w:semiHidden/>
    <w:unhideWhenUsed/>
    <w:rsid w:val="00795A46"/>
    <w:pPr>
      <w:tabs>
        <w:tab w:val="right" w:leader="dot" w:pos="8506"/>
      </w:tabs>
      <w:ind w:left="1132"/>
    </w:pPr>
  </w:style>
  <w:style w:type="character" w:styleId="Kiemels2">
    <w:name w:val="Strong"/>
    <w:basedOn w:val="Bekezdsalapbettpusa"/>
    <w:uiPriority w:val="22"/>
    <w:qFormat/>
    <w:rsid w:val="00795A46"/>
    <w:rPr>
      <w:b/>
      <w:bCs/>
    </w:rPr>
  </w:style>
  <w:style w:type="paragraph" w:customStyle="1" w:styleId="Szvegtrzs22">
    <w:name w:val="Szövegtörzs 22"/>
    <w:basedOn w:val="Norml"/>
    <w:rsid w:val="00795A46"/>
    <w:rPr>
      <w:rFonts w:ascii="Times New Roman" w:hAnsi="Times New Roman"/>
      <w:sz w:val="24"/>
      <w:szCs w:val="20"/>
    </w:rPr>
  </w:style>
  <w:style w:type="character" w:customStyle="1" w:styleId="Feloldatlanmegemlts1">
    <w:name w:val="Feloldatlan megemlítés1"/>
    <w:uiPriority w:val="99"/>
    <w:semiHidden/>
    <w:rsid w:val="00795A4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364787">
      <w:bodyDiv w:val="1"/>
      <w:marLeft w:val="0"/>
      <w:marRight w:val="0"/>
      <w:marTop w:val="0"/>
      <w:marBottom w:val="0"/>
      <w:divBdr>
        <w:top w:val="none" w:sz="0" w:space="0" w:color="auto"/>
        <w:left w:val="none" w:sz="0" w:space="0" w:color="auto"/>
        <w:bottom w:val="none" w:sz="0" w:space="0" w:color="auto"/>
        <w:right w:val="none" w:sz="0" w:space="0" w:color="auto"/>
      </w:divBdr>
    </w:div>
    <w:div w:id="426269577">
      <w:bodyDiv w:val="1"/>
      <w:marLeft w:val="0"/>
      <w:marRight w:val="0"/>
      <w:marTop w:val="0"/>
      <w:marBottom w:val="0"/>
      <w:divBdr>
        <w:top w:val="none" w:sz="0" w:space="0" w:color="auto"/>
        <w:left w:val="none" w:sz="0" w:space="0" w:color="auto"/>
        <w:bottom w:val="none" w:sz="0" w:space="0" w:color="auto"/>
        <w:right w:val="none" w:sz="0" w:space="0" w:color="auto"/>
      </w:divBdr>
    </w:div>
    <w:div w:id="691537191">
      <w:bodyDiv w:val="1"/>
      <w:marLeft w:val="0"/>
      <w:marRight w:val="0"/>
      <w:marTop w:val="0"/>
      <w:marBottom w:val="0"/>
      <w:divBdr>
        <w:top w:val="none" w:sz="0" w:space="0" w:color="auto"/>
        <w:left w:val="none" w:sz="0" w:space="0" w:color="auto"/>
        <w:bottom w:val="none" w:sz="0" w:space="0" w:color="auto"/>
        <w:right w:val="none" w:sz="0" w:space="0" w:color="auto"/>
      </w:divBdr>
    </w:div>
    <w:div w:id="1400635524">
      <w:bodyDiv w:val="1"/>
      <w:marLeft w:val="0"/>
      <w:marRight w:val="0"/>
      <w:marTop w:val="0"/>
      <w:marBottom w:val="0"/>
      <w:divBdr>
        <w:top w:val="none" w:sz="0" w:space="0" w:color="auto"/>
        <w:left w:val="none" w:sz="0" w:space="0" w:color="auto"/>
        <w:bottom w:val="none" w:sz="0" w:space="0" w:color="auto"/>
        <w:right w:val="none" w:sz="0" w:space="0" w:color="auto"/>
      </w:divBdr>
    </w:div>
    <w:div w:id="170937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21" Type="http://schemas.openxmlformats.org/officeDocument/2006/relationships/chart" Target="charts/chart10.xml"/><Relationship Id="rId42" Type="http://schemas.openxmlformats.org/officeDocument/2006/relationships/image" Target="media/image9.emf"/><Relationship Id="rId47" Type="http://schemas.openxmlformats.org/officeDocument/2006/relationships/image" Target="media/image10.png"/><Relationship Id="rId63" Type="http://schemas.openxmlformats.org/officeDocument/2006/relationships/header" Target="header1.xml"/><Relationship Id="rId68"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7.png"/><Relationship Id="rId11" Type="http://schemas.openxmlformats.org/officeDocument/2006/relationships/chart" Target="charts/chart3.xml"/><Relationship Id="rId24" Type="http://schemas.openxmlformats.org/officeDocument/2006/relationships/image" Target="media/image6.png"/><Relationship Id="rId32" Type="http://schemas.openxmlformats.org/officeDocument/2006/relationships/chart" Target="charts/chart18.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28.xml"/><Relationship Id="rId53" Type="http://schemas.openxmlformats.org/officeDocument/2006/relationships/chart" Target="charts/chart35.xml"/><Relationship Id="rId58" Type="http://schemas.openxmlformats.org/officeDocument/2006/relationships/chart" Target="charts/chart40.xml"/><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chart" Target="charts/chart43.xml"/><Relationship Id="rId19" Type="http://schemas.openxmlformats.org/officeDocument/2006/relationships/chart" Target="charts/chart9.xml"/><Relationship Id="rId14" Type="http://schemas.openxmlformats.org/officeDocument/2006/relationships/chart" Target="charts/chart6.xml"/><Relationship Id="rId22" Type="http://schemas.openxmlformats.org/officeDocument/2006/relationships/chart" Target="charts/chart11.xml"/><Relationship Id="rId27" Type="http://schemas.openxmlformats.org/officeDocument/2006/relationships/chart" Target="charts/chart14.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footer" Target="footer1.xml"/><Relationship Id="rId48" Type="http://schemas.openxmlformats.org/officeDocument/2006/relationships/chart" Target="charts/chart30.xml"/><Relationship Id="rId56" Type="http://schemas.openxmlformats.org/officeDocument/2006/relationships/chart" Target="charts/chart38.xm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33.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3.png"/><Relationship Id="rId25" Type="http://schemas.openxmlformats.org/officeDocument/2006/relationships/chart" Target="charts/chart12.xml"/><Relationship Id="rId33" Type="http://schemas.openxmlformats.org/officeDocument/2006/relationships/chart" Target="charts/chart19.xml"/><Relationship Id="rId38" Type="http://schemas.openxmlformats.org/officeDocument/2006/relationships/chart" Target="charts/chart23.xml"/><Relationship Id="rId46" Type="http://schemas.openxmlformats.org/officeDocument/2006/relationships/chart" Target="charts/chart29.xml"/><Relationship Id="rId59" Type="http://schemas.openxmlformats.org/officeDocument/2006/relationships/chart" Target="charts/chart41.xml"/><Relationship Id="rId67" Type="http://schemas.openxmlformats.org/officeDocument/2006/relationships/header" Target="header3.xml"/><Relationship Id="rId20" Type="http://schemas.openxmlformats.org/officeDocument/2006/relationships/image" Target="media/image4.png"/><Relationship Id="rId41" Type="http://schemas.openxmlformats.org/officeDocument/2006/relationships/chart" Target="charts/chart26.xml"/><Relationship Id="rId54" Type="http://schemas.openxmlformats.org/officeDocument/2006/relationships/chart" Target="charts/chart36.xml"/><Relationship Id="rId62" Type="http://schemas.openxmlformats.org/officeDocument/2006/relationships/image" Target="media/image11.e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image" Target="media/image5.png"/><Relationship Id="rId28" Type="http://schemas.openxmlformats.org/officeDocument/2006/relationships/chart" Target="charts/chart15.xml"/><Relationship Id="rId36" Type="http://schemas.openxmlformats.org/officeDocument/2006/relationships/image" Target="media/image8.png"/><Relationship Id="rId49" Type="http://schemas.openxmlformats.org/officeDocument/2006/relationships/chart" Target="charts/chart31.xml"/><Relationship Id="rId57" Type="http://schemas.openxmlformats.org/officeDocument/2006/relationships/chart" Target="charts/chart39.xml"/><Relationship Id="rId10" Type="http://schemas.openxmlformats.org/officeDocument/2006/relationships/chart" Target="charts/chart2.xml"/><Relationship Id="rId31" Type="http://schemas.openxmlformats.org/officeDocument/2006/relationships/chart" Target="charts/chart17.xml"/><Relationship Id="rId44" Type="http://schemas.openxmlformats.org/officeDocument/2006/relationships/chart" Target="charts/chart27.xml"/><Relationship Id="rId52" Type="http://schemas.openxmlformats.org/officeDocument/2006/relationships/chart" Target="charts/chart34.xml"/><Relationship Id="rId60" Type="http://schemas.openxmlformats.org/officeDocument/2006/relationships/chart" Target="charts/chart42.xm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8.xml"/><Relationship Id="rId39" Type="http://schemas.openxmlformats.org/officeDocument/2006/relationships/chart" Target="charts/chart24.xml"/><Relationship Id="rId34" Type="http://schemas.openxmlformats.org/officeDocument/2006/relationships/chart" Target="charts/chart20.xml"/><Relationship Id="rId50" Type="http://schemas.openxmlformats.org/officeDocument/2006/relationships/chart" Target="charts/chart32.xml"/><Relationship Id="rId55" Type="http://schemas.openxmlformats.org/officeDocument/2006/relationships/chart" Target="charts/chart37.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munkalap.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munkalap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munkalap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munkalap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munkalap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munkalap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munkalap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munkalap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munkalap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munkalap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munkalap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munkalap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munkalap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munkalap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munkalap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munkalap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munkalap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munkalap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munkalap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munkalap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munkalap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munkalap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munkalap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munkalap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3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_rels/chart3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35.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36.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4.xml"/><Relationship Id="rId1" Type="http://schemas.microsoft.com/office/2011/relationships/chartStyle" Target="style4.xml"/></Relationships>
</file>

<file path=word/charts/_rels/chart37.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5.xml"/><Relationship Id="rId1" Type="http://schemas.microsoft.com/office/2011/relationships/chartStyle" Target="style5.xml"/></Relationships>
</file>

<file path=word/charts/_rels/chart38.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39.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6.xml"/><Relationship Id="rId1" Type="http://schemas.microsoft.com/office/2011/relationships/chartStyle" Target="style6.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munkalap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oleObject" Target="../embeddings/oleObject10.bin"/><Relationship Id="rId2" Type="http://schemas.microsoft.com/office/2011/relationships/chartColorStyle" Target="colors7.xml"/><Relationship Id="rId1" Type="http://schemas.microsoft.com/office/2011/relationships/chartStyle" Target="style7.xml"/></Relationships>
</file>

<file path=word/charts/_rels/chart41.xml.rels><?xml version="1.0" encoding="UTF-8" standalone="yes"?>
<Relationships xmlns="http://schemas.openxmlformats.org/package/2006/relationships"><Relationship Id="rId3" Type="http://schemas.openxmlformats.org/officeDocument/2006/relationships/oleObject" Target="../embeddings/oleObject11.bin"/><Relationship Id="rId2" Type="http://schemas.microsoft.com/office/2011/relationships/chartColorStyle" Target="colors8.xml"/><Relationship Id="rId1" Type="http://schemas.microsoft.com/office/2011/relationships/chartStyle" Target="style8.xml"/></Relationships>
</file>

<file path=word/charts/_rels/chart42.xml.rels><?xml version="1.0" encoding="UTF-8" standalone="yes"?>
<Relationships xmlns="http://schemas.openxmlformats.org/package/2006/relationships"><Relationship Id="rId3" Type="http://schemas.openxmlformats.org/officeDocument/2006/relationships/oleObject" Target="../embeddings/oleObject12.bin"/><Relationship Id="rId2" Type="http://schemas.microsoft.com/office/2011/relationships/chartColorStyle" Target="colors9.xml"/><Relationship Id="rId1" Type="http://schemas.microsoft.com/office/2011/relationships/chartStyle" Target="style9.xml"/></Relationships>
</file>

<file path=word/charts/_rels/chart43.xml.rels><?xml version="1.0" encoding="UTF-8" standalone="yes"?>
<Relationships xmlns="http://schemas.openxmlformats.org/package/2006/relationships"><Relationship Id="rId3" Type="http://schemas.openxmlformats.org/officeDocument/2006/relationships/oleObject" Target="../embeddings/oleObject13.bin"/><Relationship Id="rId2" Type="http://schemas.microsoft.com/office/2011/relationships/chartColorStyle" Target="colors10.xml"/><Relationship Id="rId1" Type="http://schemas.microsoft.com/office/2011/relationships/chartStyle" Target="style10.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munkalap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munkalap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munkalap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munkalap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munkalap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hu-HU" sz="1200"/>
              <a:t>Lakónépesség</a:t>
            </a:r>
          </a:p>
        </c:rich>
      </c:tx>
      <c:layout/>
      <c:overlay val="0"/>
    </c:title>
    <c:autoTitleDeleted val="0"/>
    <c:plotArea>
      <c:layout/>
      <c:barChart>
        <c:barDir val="col"/>
        <c:grouping val="clustered"/>
        <c:varyColors val="0"/>
        <c:ser>
          <c:idx val="0"/>
          <c:order val="0"/>
          <c:tx>
            <c:strRef>
              <c:f>'Település Bemutatása - Népesség'!$B$2</c:f>
              <c:strCache>
                <c:ptCount val="1"/>
                <c:pt idx="0">
                  <c:v>Fő
(TS 001)</c:v>
                </c:pt>
              </c:strCache>
            </c:strRef>
          </c:tx>
          <c:invertIfNegative val="0"/>
          <c:cat>
            <c:numRef>
              <c:f>'Település Bemutatása - Népesség'!$A$3:$A$8</c:f>
              <c:numCache>
                <c:formatCode>General</c:formatCode>
                <c:ptCount val="6"/>
                <c:pt idx="0">
                  <c:v>2015</c:v>
                </c:pt>
                <c:pt idx="1">
                  <c:v>2016</c:v>
                </c:pt>
                <c:pt idx="2">
                  <c:v>2017</c:v>
                </c:pt>
                <c:pt idx="3">
                  <c:v>2018</c:v>
                </c:pt>
                <c:pt idx="4">
                  <c:v>2019</c:v>
                </c:pt>
                <c:pt idx="5">
                  <c:v>2020</c:v>
                </c:pt>
              </c:numCache>
            </c:numRef>
          </c:cat>
          <c:val>
            <c:numRef>
              <c:f>'Település Bemutatása - Népesség'!$B$3:$B$8</c:f>
              <c:numCache>
                <c:formatCode>#\ ##0</c:formatCode>
                <c:ptCount val="6"/>
                <c:pt idx="0">
                  <c:v>4789</c:v>
                </c:pt>
                <c:pt idx="1">
                  <c:v>4748</c:v>
                </c:pt>
                <c:pt idx="2">
                  <c:v>4722</c:v>
                </c:pt>
                <c:pt idx="3">
                  <c:v>4652</c:v>
                </c:pt>
                <c:pt idx="4">
                  <c:v>4582</c:v>
                </c:pt>
                <c:pt idx="5">
                  <c:v>0</c:v>
                </c:pt>
              </c:numCache>
            </c:numRef>
          </c:val>
          <c:extLst>
            <c:ext xmlns:c16="http://schemas.microsoft.com/office/drawing/2014/chart" uri="{C3380CC4-5D6E-409C-BE32-E72D297353CC}">
              <c16:uniqueId val="{00000000-E9C4-4D0D-9003-E5EA6E2D8261}"/>
            </c:ext>
          </c:extLst>
        </c:ser>
        <c:dLbls>
          <c:showLegendKey val="0"/>
          <c:showVal val="0"/>
          <c:showCatName val="0"/>
          <c:showSerName val="0"/>
          <c:showPercent val="0"/>
          <c:showBubbleSize val="0"/>
        </c:dLbls>
        <c:gapWidth val="150"/>
        <c:axId val="1286137184"/>
        <c:axId val="1"/>
      </c:barChart>
      <c:catAx>
        <c:axId val="1286137184"/>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 ##0" sourceLinked="1"/>
        <c:majorTickMark val="out"/>
        <c:minorTickMark val="none"/>
        <c:tickLblPos val="nextTo"/>
        <c:crossAx val="1286137184"/>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Aktív foglalkoztatáspolitikai eszközökkel támogatottak</a:t>
            </a:r>
            <a:r>
              <a:rPr lang="hu-HU" sz="1200" b="1" baseline="0">
                <a:solidFill>
                  <a:schemeClr val="tx1"/>
                </a:solidFill>
              </a:rPr>
              <a:t> és közfoglalkoztatottak száma</a:t>
            </a:r>
            <a:endParaRPr lang="hu-HU" sz="1200" b="1">
              <a:solidFill>
                <a:schemeClr val="tx1"/>
              </a:solidFill>
            </a:endParaRPr>
          </a:p>
        </c:rich>
      </c:tx>
      <c:overlay val="0"/>
      <c:spPr>
        <a:noFill/>
        <a:ln w="25411">
          <a:noFill/>
        </a:ln>
      </c:spPr>
    </c:title>
    <c:autoTitleDeleted val="0"/>
    <c:plotArea>
      <c:layout/>
      <c:lineChart>
        <c:grouping val="standard"/>
        <c:varyColors val="0"/>
        <c:ser>
          <c:idx val="0"/>
          <c:order val="0"/>
          <c:tx>
            <c:v>Aktív foglalkoztatás-politikai eszközökkel támogatottak</c:v>
          </c:tx>
          <c:spPr>
            <a:ln w="28560" cap="rnd">
              <a:solidFill>
                <a:schemeClr val="accent1"/>
              </a:solidFill>
              <a:round/>
            </a:ln>
            <a:effectLst/>
          </c:spPr>
          <c:marker>
            <c:symbol val="none"/>
          </c:marker>
          <c:cat>
            <c:numRef>
              <c:f>'3. Mélyszegények-Romák'!$AF$4:$AF$9</c:f>
              <c:numCache>
                <c:formatCode>General</c:formatCode>
                <c:ptCount val="6"/>
                <c:pt idx="0">
                  <c:v>2015</c:v>
                </c:pt>
                <c:pt idx="1">
                  <c:v>2016</c:v>
                </c:pt>
                <c:pt idx="2">
                  <c:v>2017</c:v>
                </c:pt>
                <c:pt idx="3">
                  <c:v>2018</c:v>
                </c:pt>
                <c:pt idx="4">
                  <c:v>2019</c:v>
                </c:pt>
                <c:pt idx="5">
                  <c:v>2020</c:v>
                </c:pt>
              </c:numCache>
            </c:numRef>
          </c:cat>
          <c:val>
            <c:numRef>
              <c:f>'3. Mélyszegények-Romák'!$AG$4:$AG$9</c:f>
              <c:numCache>
                <c:formatCode>0</c:formatCode>
                <c:ptCount val="6"/>
                <c:pt idx="0">
                  <c:v>171</c:v>
                </c:pt>
                <c:pt idx="1">
                  <c:v>191</c:v>
                </c:pt>
                <c:pt idx="2">
                  <c:v>185</c:v>
                </c:pt>
                <c:pt idx="3">
                  <c:v>134</c:v>
                </c:pt>
                <c:pt idx="4">
                  <c:v>119</c:v>
                </c:pt>
                <c:pt idx="5">
                  <c:v>0</c:v>
                </c:pt>
              </c:numCache>
            </c:numRef>
          </c:val>
          <c:smooth val="0"/>
          <c:extLst>
            <c:ext xmlns:c16="http://schemas.microsoft.com/office/drawing/2014/chart" uri="{C3380CC4-5D6E-409C-BE32-E72D297353CC}">
              <c16:uniqueId val="{00000000-FF0E-4818-AD23-216A8044A412}"/>
            </c:ext>
          </c:extLst>
        </c:ser>
        <c:ser>
          <c:idx val="1"/>
          <c:order val="1"/>
          <c:tx>
            <c:v>Közfoglalkozottak éves átlaga</c:v>
          </c:tx>
          <c:spPr>
            <a:ln w="28560" cap="rnd">
              <a:solidFill>
                <a:schemeClr val="accent2"/>
              </a:solidFill>
              <a:round/>
            </a:ln>
            <a:effectLst/>
          </c:spPr>
          <c:marker>
            <c:symbol val="none"/>
          </c:marker>
          <c:cat>
            <c:numRef>
              <c:f>'3. Mélyszegények-Romák'!$AF$4:$AF$9</c:f>
              <c:numCache>
                <c:formatCode>General</c:formatCode>
                <c:ptCount val="6"/>
                <c:pt idx="0">
                  <c:v>2015</c:v>
                </c:pt>
                <c:pt idx="1">
                  <c:v>2016</c:v>
                </c:pt>
                <c:pt idx="2">
                  <c:v>2017</c:v>
                </c:pt>
                <c:pt idx="3">
                  <c:v>2018</c:v>
                </c:pt>
                <c:pt idx="4">
                  <c:v>2019</c:v>
                </c:pt>
                <c:pt idx="5">
                  <c:v>2020</c:v>
                </c:pt>
              </c:numCache>
            </c:numRef>
          </c:cat>
          <c:val>
            <c:numRef>
              <c:f>'3. Mélyszegények-Romák'!$AH$4:$AH$9</c:f>
              <c:numCache>
                <c:formatCode>0</c:formatCode>
                <c:ptCount val="6"/>
                <c:pt idx="0">
                  <c:v>156</c:v>
                </c:pt>
                <c:pt idx="1">
                  <c:v>152</c:v>
                </c:pt>
                <c:pt idx="2">
                  <c:v>146</c:v>
                </c:pt>
                <c:pt idx="3">
                  <c:v>114</c:v>
                </c:pt>
                <c:pt idx="4">
                  <c:v>91</c:v>
                </c:pt>
                <c:pt idx="5">
                  <c:v>80</c:v>
                </c:pt>
              </c:numCache>
            </c:numRef>
          </c:val>
          <c:smooth val="0"/>
          <c:extLst>
            <c:ext xmlns:c16="http://schemas.microsoft.com/office/drawing/2014/chart" uri="{C3380CC4-5D6E-409C-BE32-E72D297353CC}">
              <c16:uniqueId val="{00000001-FF0E-4818-AD23-216A8044A412}"/>
            </c:ext>
          </c:extLst>
        </c:ser>
        <c:dLbls>
          <c:showLegendKey val="0"/>
          <c:showVal val="0"/>
          <c:showCatName val="0"/>
          <c:showSerName val="0"/>
          <c:showPercent val="0"/>
          <c:showBubbleSize val="0"/>
        </c:dLbls>
        <c:smooth val="0"/>
        <c:axId val="2103473503"/>
        <c:axId val="1"/>
      </c:lineChart>
      <c:catAx>
        <c:axId val="2103473503"/>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9520" cap="flat" cmpd="sng" algn="ctr">
              <a:solidFill>
                <a:schemeClr val="tx1">
                  <a:lumMod val="15000"/>
                  <a:lumOff val="85000"/>
                </a:schemeClr>
              </a:solidFill>
              <a:round/>
            </a:ln>
            <a:effectLst/>
          </c:spPr>
        </c:majorGridlines>
        <c:numFmt formatCode="0" sourceLinked="1"/>
        <c:majorTickMark val="none"/>
        <c:minorTickMark val="none"/>
        <c:tickLblPos val="nextTo"/>
        <c:spPr>
          <a:ln w="6353">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hu-HU"/>
          </a:p>
        </c:txPr>
        <c:crossAx val="2103473503"/>
        <c:crosses val="autoZero"/>
        <c:crossBetween val="between"/>
      </c:valAx>
      <c:spPr>
        <a:noFill/>
        <a:ln w="25411">
          <a:noFill/>
        </a:ln>
      </c:spPr>
    </c:plotArea>
    <c:legend>
      <c:legendPos val="b"/>
      <c:overlay val="0"/>
      <c:spPr>
        <a:noFill/>
        <a:ln w="25411">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Álláskeresők</a:t>
            </a:r>
          </a:p>
        </c:rich>
      </c:tx>
      <c:overlay val="0"/>
      <c:spPr>
        <a:noFill/>
        <a:ln w="25396">
          <a:noFill/>
        </a:ln>
      </c:spPr>
    </c:title>
    <c:autoTitleDeleted val="0"/>
    <c:plotArea>
      <c:layout/>
      <c:barChart>
        <c:barDir val="bar"/>
        <c:grouping val="clustered"/>
        <c:varyColors val="0"/>
        <c:ser>
          <c:idx val="0"/>
          <c:order val="0"/>
          <c:tx>
            <c:v>Nyilvántartott álláskeresők</c:v>
          </c:tx>
          <c:spPr>
            <a:solidFill>
              <a:srgbClr val="4472C4"/>
            </a:solidFill>
            <a:ln w="25396">
              <a:noFill/>
            </a:ln>
          </c:spPr>
          <c:invertIfNegative val="0"/>
          <c:cat>
            <c:numRef>
              <c:f>'3. Mélyszegények-Romák'!$AJ$4:$AJ$9</c:f>
              <c:numCache>
                <c:formatCode>General</c:formatCode>
                <c:ptCount val="6"/>
                <c:pt idx="0">
                  <c:v>2015</c:v>
                </c:pt>
                <c:pt idx="1">
                  <c:v>2016</c:v>
                </c:pt>
                <c:pt idx="2">
                  <c:v>2017</c:v>
                </c:pt>
                <c:pt idx="3">
                  <c:v>2018</c:v>
                </c:pt>
                <c:pt idx="4">
                  <c:v>2019</c:v>
                </c:pt>
                <c:pt idx="5">
                  <c:v>2020</c:v>
                </c:pt>
              </c:numCache>
            </c:numRef>
          </c:cat>
          <c:val>
            <c:numRef>
              <c:f>'3. Mélyszegények-Romák'!$AK$4:$AK$9</c:f>
              <c:numCache>
                <c:formatCode>0</c:formatCode>
                <c:ptCount val="6"/>
                <c:pt idx="0">
                  <c:v>152</c:v>
                </c:pt>
                <c:pt idx="1">
                  <c:v>139</c:v>
                </c:pt>
                <c:pt idx="2">
                  <c:v>102</c:v>
                </c:pt>
                <c:pt idx="3">
                  <c:v>110</c:v>
                </c:pt>
                <c:pt idx="4">
                  <c:v>127</c:v>
                </c:pt>
                <c:pt idx="5">
                  <c:v>0</c:v>
                </c:pt>
              </c:numCache>
            </c:numRef>
          </c:val>
          <c:extLst>
            <c:ext xmlns:c16="http://schemas.microsoft.com/office/drawing/2014/chart" uri="{C3380CC4-5D6E-409C-BE32-E72D297353CC}">
              <c16:uniqueId val="{00000000-4CDA-4B11-9F36-7D91EE8016A0}"/>
            </c:ext>
          </c:extLst>
        </c:ser>
        <c:ser>
          <c:idx val="1"/>
          <c:order val="1"/>
          <c:tx>
            <c:v>Nyilvántartott pályakezdő álláskeresők</c:v>
          </c:tx>
          <c:spPr>
            <a:solidFill>
              <a:srgbClr val="ED7D31"/>
            </a:solidFill>
            <a:ln w="25396">
              <a:noFill/>
            </a:ln>
          </c:spPr>
          <c:invertIfNegative val="0"/>
          <c:cat>
            <c:numRef>
              <c:f>'3. Mélyszegények-Romák'!$AJ$4:$AJ$9</c:f>
              <c:numCache>
                <c:formatCode>General</c:formatCode>
                <c:ptCount val="6"/>
                <c:pt idx="0">
                  <c:v>2015</c:v>
                </c:pt>
                <c:pt idx="1">
                  <c:v>2016</c:v>
                </c:pt>
                <c:pt idx="2">
                  <c:v>2017</c:v>
                </c:pt>
                <c:pt idx="3">
                  <c:v>2018</c:v>
                </c:pt>
                <c:pt idx="4">
                  <c:v>2019</c:v>
                </c:pt>
                <c:pt idx="5">
                  <c:v>2020</c:v>
                </c:pt>
              </c:numCache>
            </c:numRef>
          </c:cat>
          <c:val>
            <c:numRef>
              <c:f>'3. Mélyszegények-Romák'!$AL$4:$AL$9</c:f>
              <c:numCache>
                <c:formatCode>0</c:formatCode>
                <c:ptCount val="6"/>
                <c:pt idx="0">
                  <c:v>18</c:v>
                </c:pt>
                <c:pt idx="1">
                  <c:v>14</c:v>
                </c:pt>
                <c:pt idx="2">
                  <c:v>14</c:v>
                </c:pt>
                <c:pt idx="3">
                  <c:v>13</c:v>
                </c:pt>
                <c:pt idx="4">
                  <c:v>10</c:v>
                </c:pt>
                <c:pt idx="5">
                  <c:v>0</c:v>
                </c:pt>
              </c:numCache>
            </c:numRef>
          </c:val>
          <c:extLst>
            <c:ext xmlns:c16="http://schemas.microsoft.com/office/drawing/2014/chart" uri="{C3380CC4-5D6E-409C-BE32-E72D297353CC}">
              <c16:uniqueId val="{00000001-4CDA-4B11-9F36-7D91EE8016A0}"/>
            </c:ext>
          </c:extLst>
        </c:ser>
        <c:dLbls>
          <c:showLegendKey val="0"/>
          <c:showVal val="0"/>
          <c:showCatName val="0"/>
          <c:showSerName val="0"/>
          <c:showPercent val="0"/>
          <c:showBubbleSize val="0"/>
        </c:dLbls>
        <c:gapWidth val="182"/>
        <c:axId val="2100830911"/>
        <c:axId val="1"/>
      </c:barChart>
      <c:catAx>
        <c:axId val="2100830911"/>
        <c:scaling>
          <c:orientation val="minMax"/>
        </c:scaling>
        <c:delete val="0"/>
        <c:axPos val="l"/>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b"/>
        <c:majorGridlines>
          <c:spPr>
            <a:ln w="9520" cap="flat" cmpd="sng" algn="ctr">
              <a:solidFill>
                <a:schemeClr val="tx1">
                  <a:lumMod val="15000"/>
                  <a:lumOff val="85000"/>
                </a:schemeClr>
              </a:solidFill>
              <a:round/>
            </a:ln>
            <a:effectLst/>
          </c:spPr>
        </c:majorGridlines>
        <c:numFmt formatCode="0" sourceLinked="1"/>
        <c:majorTickMark val="none"/>
        <c:minorTickMark val="none"/>
        <c:tickLblPos val="nextTo"/>
        <c:spPr>
          <a:ln w="6349">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100830911"/>
        <c:crosses val="autoZero"/>
        <c:crossBetween val="between"/>
      </c:valAx>
      <c:spPr>
        <a:noFill/>
        <a:ln w="25396">
          <a:noFill/>
        </a:ln>
      </c:spPr>
    </c:plotArea>
    <c:legend>
      <c:legendPos val="b"/>
      <c:overlay val="0"/>
      <c:spPr>
        <a:noFill/>
        <a:ln w="25396">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2" b="0" i="0" u="none" strike="noStrike" kern="1200" spc="0" baseline="0">
                <a:solidFill>
                  <a:schemeClr val="tx1">
                    <a:lumMod val="65000"/>
                    <a:lumOff val="35000"/>
                  </a:schemeClr>
                </a:solidFill>
                <a:latin typeface="+mn-lt"/>
                <a:ea typeface="+mn-ea"/>
                <a:cs typeface="+mn-cs"/>
              </a:defRPr>
            </a:pPr>
            <a:r>
              <a:rPr lang="hu-HU" sz="1202" b="1">
                <a:solidFill>
                  <a:schemeClr val="tx1"/>
                </a:solidFill>
              </a:rPr>
              <a:t>Eü.</a:t>
            </a:r>
            <a:r>
              <a:rPr lang="hu-HU" sz="1202" b="1" baseline="0">
                <a:solidFill>
                  <a:schemeClr val="tx1"/>
                </a:solidFill>
              </a:rPr>
              <a:t> károsodási és gyf. támogatában részesülők</a:t>
            </a:r>
            <a:endParaRPr lang="hu-HU" sz="1200" b="1">
              <a:solidFill>
                <a:schemeClr val="tx1"/>
              </a:solidFill>
            </a:endParaRPr>
          </a:p>
        </c:rich>
      </c:tx>
      <c:overlay val="0"/>
      <c:spPr>
        <a:noFill/>
        <a:ln w="25411">
          <a:noFill/>
        </a:ln>
      </c:spPr>
    </c:title>
    <c:autoTitleDeleted val="0"/>
    <c:plotArea>
      <c:layout/>
      <c:lineChart>
        <c:grouping val="standard"/>
        <c:varyColors val="0"/>
        <c:ser>
          <c:idx val="0"/>
          <c:order val="0"/>
          <c:spPr>
            <a:ln w="28604" cap="rnd">
              <a:solidFill>
                <a:schemeClr val="accent1"/>
              </a:solidFill>
              <a:round/>
            </a:ln>
            <a:effectLst/>
          </c:spPr>
          <c:marker>
            <c:symbol val="none"/>
          </c:marker>
          <c:cat>
            <c:numRef>
              <c:f>'3. Mélyszegények-Romák'!$BB$4:$BB$9</c:f>
              <c:numCache>
                <c:formatCode>General</c:formatCode>
                <c:ptCount val="6"/>
                <c:pt idx="0">
                  <c:v>2015</c:v>
                </c:pt>
                <c:pt idx="1">
                  <c:v>2016</c:v>
                </c:pt>
                <c:pt idx="2">
                  <c:v>2017</c:v>
                </c:pt>
                <c:pt idx="3">
                  <c:v>2018</c:v>
                </c:pt>
                <c:pt idx="4">
                  <c:v>2019</c:v>
                </c:pt>
                <c:pt idx="5">
                  <c:v>2020</c:v>
                </c:pt>
              </c:numCache>
            </c:numRef>
          </c:cat>
          <c:val>
            <c:numRef>
              <c:f>'3. Mélyszegények-Romák'!$BC$4:$BC$9</c:f>
              <c:numCache>
                <c:formatCode>0</c:formatCode>
                <c:ptCount val="6"/>
                <c:pt idx="0">
                  <c:v>0</c:v>
                </c:pt>
                <c:pt idx="1">
                  <c:v>0</c:v>
                </c:pt>
                <c:pt idx="2">
                  <c:v>8.07</c:v>
                </c:pt>
                <c:pt idx="3">
                  <c:v>8.93</c:v>
                </c:pt>
                <c:pt idx="4">
                  <c:v>8.69</c:v>
                </c:pt>
                <c:pt idx="5">
                  <c:v>0</c:v>
                </c:pt>
              </c:numCache>
            </c:numRef>
          </c:val>
          <c:smooth val="0"/>
          <c:extLst>
            <c:ext xmlns:c16="http://schemas.microsoft.com/office/drawing/2014/chart" uri="{C3380CC4-5D6E-409C-BE32-E72D297353CC}">
              <c16:uniqueId val="{00000000-E2D4-4CD4-AC43-ABA7ABCD8515}"/>
            </c:ext>
          </c:extLst>
        </c:ser>
        <c:dLbls>
          <c:showLegendKey val="0"/>
          <c:showVal val="0"/>
          <c:showCatName val="0"/>
          <c:showSerName val="0"/>
          <c:showPercent val="0"/>
          <c:showBubbleSize val="0"/>
        </c:dLbls>
        <c:smooth val="0"/>
        <c:axId val="2103519183"/>
        <c:axId val="1"/>
      </c:lineChart>
      <c:catAx>
        <c:axId val="2103519183"/>
        <c:scaling>
          <c:orientation val="minMax"/>
        </c:scaling>
        <c:delete val="0"/>
        <c:axPos val="b"/>
        <c:numFmt formatCode="General" sourceLinked="1"/>
        <c:majorTickMark val="none"/>
        <c:minorTickMark val="none"/>
        <c:tickLblPos val="nextTo"/>
        <c:spPr>
          <a:noFill/>
          <a:ln w="9535"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9535" cap="flat" cmpd="sng" algn="ctr">
              <a:solidFill>
                <a:schemeClr val="tx1">
                  <a:lumMod val="15000"/>
                  <a:lumOff val="85000"/>
                </a:schemeClr>
              </a:solidFill>
              <a:round/>
            </a:ln>
            <a:effectLst/>
          </c:spPr>
        </c:majorGridlines>
        <c:numFmt formatCode="0" sourceLinked="1"/>
        <c:majorTickMark val="none"/>
        <c:minorTickMark val="none"/>
        <c:tickLblPos val="nextTo"/>
        <c:spPr>
          <a:ln w="6353">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hu-HU"/>
          </a:p>
        </c:txPr>
        <c:crossAx val="2103519183"/>
        <c:crosses val="autoZero"/>
        <c:crossBetween val="between"/>
      </c:valAx>
      <c:spPr>
        <a:noFill/>
        <a:ln w="25411">
          <a:noFill/>
        </a:ln>
      </c:spPr>
    </c:plotArea>
    <c:plotVisOnly val="1"/>
    <c:dispBlanksAs val="gap"/>
    <c:showDLblsOverMax val="0"/>
  </c:chart>
  <c:spPr>
    <a:solidFill>
      <a:schemeClr val="bg1"/>
    </a:solidFill>
    <a:ln w="953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83" b="0" i="0" u="none" strike="noStrike" kern="1200" spc="0" baseline="0">
                <a:solidFill>
                  <a:schemeClr val="tx1">
                    <a:lumMod val="65000"/>
                    <a:lumOff val="35000"/>
                  </a:schemeClr>
                </a:solidFill>
                <a:latin typeface="+mn-lt"/>
                <a:ea typeface="+mn-ea"/>
                <a:cs typeface="+mn-cs"/>
              </a:defRPr>
            </a:pPr>
            <a:r>
              <a:rPr lang="hu-HU" sz="1187" b="1">
                <a:solidFill>
                  <a:schemeClr val="tx1"/>
                </a:solidFill>
              </a:rPr>
              <a:t>Lakásállomány és minősége</a:t>
            </a:r>
          </a:p>
        </c:rich>
      </c:tx>
      <c:layout/>
      <c:overlay val="0"/>
      <c:spPr>
        <a:noFill/>
        <a:ln w="25135">
          <a:noFill/>
        </a:ln>
      </c:spPr>
    </c:title>
    <c:autoTitleDeleted val="0"/>
    <c:plotArea>
      <c:layout/>
      <c:barChart>
        <c:barDir val="bar"/>
        <c:grouping val="clustered"/>
        <c:varyColors val="0"/>
        <c:ser>
          <c:idx val="0"/>
          <c:order val="0"/>
          <c:tx>
            <c:strRef>
              <c:f>'3. Mélyszegények-Romák'!$BI$2</c:f>
              <c:strCache>
                <c:ptCount val="1"/>
                <c:pt idx="0">
                  <c:v>1-2 szobás lakások aránya
(TS 076)</c:v>
                </c:pt>
              </c:strCache>
            </c:strRef>
          </c:tx>
          <c:spPr>
            <a:solidFill>
              <a:srgbClr val="4472C4"/>
            </a:solidFill>
            <a:ln w="25135">
              <a:noFill/>
            </a:ln>
          </c:spPr>
          <c:invertIfNegative val="0"/>
          <c:cat>
            <c:numRef>
              <c:f>'3. Mélyszegények-Romák'!$BE$4:$BE$9</c:f>
              <c:numCache>
                <c:formatCode>General</c:formatCode>
                <c:ptCount val="6"/>
                <c:pt idx="0">
                  <c:v>2015</c:v>
                </c:pt>
                <c:pt idx="1">
                  <c:v>2016</c:v>
                </c:pt>
                <c:pt idx="2">
                  <c:v>2017</c:v>
                </c:pt>
                <c:pt idx="3">
                  <c:v>2018</c:v>
                </c:pt>
                <c:pt idx="4">
                  <c:v>2019</c:v>
                </c:pt>
                <c:pt idx="5">
                  <c:v>2020</c:v>
                </c:pt>
              </c:numCache>
            </c:numRef>
          </c:cat>
          <c:val>
            <c:numRef>
              <c:f>'3. Mélyszegények-Romák'!$BI$4:$BI$9</c:f>
              <c:numCache>
                <c:formatCode>#,000%</c:formatCode>
                <c:ptCount val="6"/>
                <c:pt idx="0">
                  <c:v>0.54</c:v>
                </c:pt>
                <c:pt idx="1">
                  <c:v>0.54090000000000005</c:v>
                </c:pt>
                <c:pt idx="2">
                  <c:v>0.54090000000000005</c:v>
                </c:pt>
                <c:pt idx="3">
                  <c:v>0.54090000000000005</c:v>
                </c:pt>
                <c:pt idx="4">
                  <c:v>0.54069999999999996</c:v>
                </c:pt>
                <c:pt idx="5">
                  <c:v>0</c:v>
                </c:pt>
              </c:numCache>
            </c:numRef>
          </c:val>
          <c:extLst>
            <c:ext xmlns:c16="http://schemas.microsoft.com/office/drawing/2014/chart" uri="{C3380CC4-5D6E-409C-BE32-E72D297353CC}">
              <c16:uniqueId val="{00000000-424F-4885-8415-676654075CAE}"/>
            </c:ext>
          </c:extLst>
        </c:ser>
        <c:ser>
          <c:idx val="1"/>
          <c:order val="1"/>
          <c:tx>
            <c:strRef>
              <c:f>'3. Mélyszegények-Romák'!$BJ$2</c:f>
              <c:strCache>
                <c:ptCount val="1"/>
                <c:pt idx="0">
                  <c:v>A közüzemi szennyvízgyűjtő-hálózatba 
 bekapcsolt lakások aránya (TS 074)</c:v>
                </c:pt>
              </c:strCache>
            </c:strRef>
          </c:tx>
          <c:spPr>
            <a:solidFill>
              <a:srgbClr val="ED7D31"/>
            </a:solidFill>
            <a:ln w="25135">
              <a:noFill/>
            </a:ln>
          </c:spPr>
          <c:invertIfNegative val="0"/>
          <c:cat>
            <c:numRef>
              <c:f>'3. Mélyszegények-Romák'!$BE$4:$BE$9</c:f>
              <c:numCache>
                <c:formatCode>General</c:formatCode>
                <c:ptCount val="6"/>
                <c:pt idx="0">
                  <c:v>2015</c:v>
                </c:pt>
                <c:pt idx="1">
                  <c:v>2016</c:v>
                </c:pt>
                <c:pt idx="2">
                  <c:v>2017</c:v>
                </c:pt>
                <c:pt idx="3">
                  <c:v>2018</c:v>
                </c:pt>
                <c:pt idx="4">
                  <c:v>2019</c:v>
                </c:pt>
                <c:pt idx="5">
                  <c:v>2020</c:v>
                </c:pt>
              </c:numCache>
            </c:numRef>
          </c:cat>
          <c:val>
            <c:numRef>
              <c:f>'3. Mélyszegények-Romák'!$BJ$4:$BJ$9</c:f>
              <c:numCache>
                <c:formatCode>#,000%</c:formatCode>
                <c:ptCount val="6"/>
                <c:pt idx="0">
                  <c:v>0.88539999999999996</c:v>
                </c:pt>
                <c:pt idx="1">
                  <c:v>0.86129999999999995</c:v>
                </c:pt>
                <c:pt idx="2">
                  <c:v>0.86170000000000002</c:v>
                </c:pt>
                <c:pt idx="3">
                  <c:v>0.86760000000000004</c:v>
                </c:pt>
                <c:pt idx="4">
                  <c:v>0.87139999999999995</c:v>
                </c:pt>
                <c:pt idx="5">
                  <c:v>0</c:v>
                </c:pt>
              </c:numCache>
            </c:numRef>
          </c:val>
          <c:extLst>
            <c:ext xmlns:c16="http://schemas.microsoft.com/office/drawing/2014/chart" uri="{C3380CC4-5D6E-409C-BE32-E72D297353CC}">
              <c16:uniqueId val="{00000001-424F-4885-8415-676654075CAE}"/>
            </c:ext>
          </c:extLst>
        </c:ser>
        <c:ser>
          <c:idx val="2"/>
          <c:order val="2"/>
          <c:tx>
            <c:strRef>
              <c:f>'3. Mélyszegények-Romák'!$BK$2</c:f>
              <c:strCache>
                <c:ptCount val="1"/>
                <c:pt idx="0">
                  <c:v>A közüzemi ivóvízvezeték-hálózatba 
 bekapcsolt lakások aránya (TS 075)</c:v>
                </c:pt>
              </c:strCache>
            </c:strRef>
          </c:tx>
          <c:spPr>
            <a:solidFill>
              <a:srgbClr val="A5A5A5"/>
            </a:solidFill>
            <a:ln w="25135">
              <a:noFill/>
            </a:ln>
          </c:spPr>
          <c:invertIfNegative val="0"/>
          <c:cat>
            <c:numRef>
              <c:f>'3. Mélyszegények-Romák'!$BE$4:$BE$9</c:f>
              <c:numCache>
                <c:formatCode>General</c:formatCode>
                <c:ptCount val="6"/>
                <c:pt idx="0">
                  <c:v>2015</c:v>
                </c:pt>
                <c:pt idx="1">
                  <c:v>2016</c:v>
                </c:pt>
                <c:pt idx="2">
                  <c:v>2017</c:v>
                </c:pt>
                <c:pt idx="3">
                  <c:v>2018</c:v>
                </c:pt>
                <c:pt idx="4">
                  <c:v>2019</c:v>
                </c:pt>
                <c:pt idx="5">
                  <c:v>2020</c:v>
                </c:pt>
              </c:numCache>
            </c:numRef>
          </c:cat>
          <c:val>
            <c:numRef>
              <c:f>'3. Mélyszegények-Romák'!$BK$4:$BK$9</c:f>
              <c:numCache>
                <c:formatCode>#,000%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424F-4885-8415-676654075CAE}"/>
            </c:ext>
          </c:extLst>
        </c:ser>
        <c:dLbls>
          <c:showLegendKey val="0"/>
          <c:showVal val="0"/>
          <c:showCatName val="0"/>
          <c:showSerName val="0"/>
          <c:showPercent val="0"/>
          <c:showBubbleSize val="0"/>
        </c:dLbls>
        <c:gapWidth val="182"/>
        <c:axId val="2109040047"/>
        <c:axId val="1"/>
      </c:barChart>
      <c:catAx>
        <c:axId val="2109040047"/>
        <c:scaling>
          <c:orientation val="minMax"/>
        </c:scaling>
        <c:delete val="0"/>
        <c:axPos val="l"/>
        <c:numFmt formatCode="General" sourceLinked="1"/>
        <c:majorTickMark val="none"/>
        <c:minorTickMark val="none"/>
        <c:tickLblPos val="nextTo"/>
        <c:spPr>
          <a:noFill/>
          <a:ln w="9415" cap="flat" cmpd="sng" algn="ctr">
            <a:solidFill>
              <a:schemeClr val="tx1">
                <a:lumMod val="15000"/>
                <a:lumOff val="85000"/>
              </a:schemeClr>
            </a:solidFill>
            <a:round/>
          </a:ln>
          <a:effectLst/>
        </c:spPr>
        <c:txPr>
          <a:bodyPr rot="-60000000" spcFirstLastPara="1" vertOverflow="ellipsis" vert="horz" wrap="square" anchor="ctr" anchorCtr="1"/>
          <a:lstStyle/>
          <a:p>
            <a:pPr>
              <a:defRPr sz="890"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b"/>
        <c:majorGridlines>
          <c:spPr>
            <a:ln w="9415" cap="flat" cmpd="sng" algn="ctr">
              <a:solidFill>
                <a:schemeClr val="tx1">
                  <a:lumMod val="15000"/>
                  <a:lumOff val="85000"/>
                </a:schemeClr>
              </a:solidFill>
              <a:round/>
            </a:ln>
            <a:effectLst/>
          </c:spPr>
        </c:majorGridlines>
        <c:numFmt formatCode="#,000%" sourceLinked="1"/>
        <c:majorTickMark val="none"/>
        <c:minorTickMark val="none"/>
        <c:tickLblPos val="nextTo"/>
        <c:spPr>
          <a:ln w="6284">
            <a:noFill/>
          </a:ln>
        </c:spPr>
        <c:txPr>
          <a:bodyPr rot="-60000000" spcFirstLastPara="1" vertOverflow="ellipsis" vert="horz" wrap="square" anchor="ctr" anchorCtr="1"/>
          <a:lstStyle/>
          <a:p>
            <a:pPr>
              <a:defRPr sz="890" b="0" i="0" u="none" strike="noStrike" kern="1200" baseline="0">
                <a:solidFill>
                  <a:schemeClr val="tx1">
                    <a:lumMod val="65000"/>
                    <a:lumOff val="35000"/>
                  </a:schemeClr>
                </a:solidFill>
                <a:latin typeface="+mn-lt"/>
                <a:ea typeface="+mn-ea"/>
                <a:cs typeface="+mn-cs"/>
              </a:defRPr>
            </a:pPr>
            <a:endParaRPr lang="hu-HU"/>
          </a:p>
        </c:txPr>
        <c:crossAx val="2109040047"/>
        <c:crosses val="autoZero"/>
        <c:crossBetween val="between"/>
      </c:valAx>
      <c:spPr>
        <a:noFill/>
        <a:ln w="25135">
          <a:noFill/>
        </a:ln>
      </c:spPr>
    </c:plotArea>
    <c:legend>
      <c:legendPos val="b"/>
      <c:layout/>
      <c:overlay val="0"/>
      <c:spPr>
        <a:noFill/>
        <a:ln w="25135">
          <a:noFill/>
        </a:ln>
      </c:spPr>
      <c:txPr>
        <a:bodyPr rot="0" spcFirstLastPara="1" vertOverflow="ellipsis" vert="horz" wrap="square" anchor="ctr" anchorCtr="1"/>
        <a:lstStyle/>
        <a:p>
          <a:pPr>
            <a:defRPr sz="89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41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hu-HU" sz="1196"/>
              <a:t>Bérlakások, szoc. bérlakások és egyéb ingatlanok </a:t>
            </a:r>
            <a:r>
              <a:rPr lang="hu-HU" sz="1196" b="1" i="0" u="none" strike="noStrike" baseline="0"/>
              <a:t>(db)</a:t>
            </a:r>
            <a:endParaRPr lang="hu-HU" sz="1200"/>
          </a:p>
        </c:rich>
      </c:tx>
      <c:layout/>
      <c:overlay val="0"/>
      <c:spPr>
        <a:noFill/>
        <a:ln w="25401">
          <a:noFill/>
        </a:ln>
      </c:spPr>
    </c:title>
    <c:autoTitleDeleted val="0"/>
    <c:plotArea>
      <c:layout/>
      <c:barChart>
        <c:barDir val="col"/>
        <c:grouping val="clustered"/>
        <c:varyColors val="0"/>
        <c:ser>
          <c:idx val="0"/>
          <c:order val="0"/>
          <c:tx>
            <c:v>Bérlakás állomány</c:v>
          </c:tx>
          <c:invertIfNegative val="0"/>
          <c:cat>
            <c:numRef>
              <c:f>'3. Mélyszegények-Romák'!$BM$4:$BM$9</c:f>
              <c:numCache>
                <c:formatCode>General</c:formatCode>
                <c:ptCount val="6"/>
                <c:pt idx="0">
                  <c:v>2015</c:v>
                </c:pt>
                <c:pt idx="1">
                  <c:v>2016</c:v>
                </c:pt>
                <c:pt idx="2">
                  <c:v>2017</c:v>
                </c:pt>
                <c:pt idx="3">
                  <c:v>2018</c:v>
                </c:pt>
                <c:pt idx="4">
                  <c:v>2019</c:v>
                </c:pt>
                <c:pt idx="5">
                  <c:v>2020</c:v>
                </c:pt>
              </c:numCache>
            </c:numRef>
          </c:cat>
          <c:val>
            <c:numRef>
              <c:f>'3. Mélyszegények-Romák'!$BP$4:$BP$9</c:f>
              <c:numCache>
                <c:formatCode>#\ ##0</c:formatCode>
                <c:ptCount val="6"/>
                <c:pt idx="0">
                  <c:v>23</c:v>
                </c:pt>
                <c:pt idx="1">
                  <c:v>23</c:v>
                </c:pt>
                <c:pt idx="2">
                  <c:v>23</c:v>
                </c:pt>
                <c:pt idx="3">
                  <c:v>23</c:v>
                </c:pt>
                <c:pt idx="4">
                  <c:v>23</c:v>
                </c:pt>
                <c:pt idx="5">
                  <c:v>23</c:v>
                </c:pt>
              </c:numCache>
            </c:numRef>
          </c:val>
          <c:extLst>
            <c:ext xmlns:c16="http://schemas.microsoft.com/office/drawing/2014/chart" uri="{C3380CC4-5D6E-409C-BE32-E72D297353CC}">
              <c16:uniqueId val="{00000000-B397-4063-8757-AF057913DB17}"/>
            </c:ext>
          </c:extLst>
        </c:ser>
        <c:ser>
          <c:idx val="1"/>
          <c:order val="1"/>
          <c:tx>
            <c:v>Szociális lakásállomány</c:v>
          </c:tx>
          <c:invertIfNegative val="0"/>
          <c:cat>
            <c:numRef>
              <c:f>'3. Mélyszegények-Romák'!$BM$4:$BM$9</c:f>
              <c:numCache>
                <c:formatCode>General</c:formatCode>
                <c:ptCount val="6"/>
                <c:pt idx="0">
                  <c:v>2015</c:v>
                </c:pt>
                <c:pt idx="1">
                  <c:v>2016</c:v>
                </c:pt>
                <c:pt idx="2">
                  <c:v>2017</c:v>
                </c:pt>
                <c:pt idx="3">
                  <c:v>2018</c:v>
                </c:pt>
                <c:pt idx="4">
                  <c:v>2019</c:v>
                </c:pt>
                <c:pt idx="5">
                  <c:v>2020</c:v>
                </c:pt>
              </c:numCache>
            </c:numRef>
          </c:cat>
          <c:val>
            <c:numRef>
              <c:f>'3. Mélyszegények-Romák'!$BR$4:$BR$9</c:f>
              <c:numCache>
                <c:formatCode>#\ ##0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B397-4063-8757-AF057913DB17}"/>
            </c:ext>
          </c:extLst>
        </c:ser>
        <c:ser>
          <c:idx val="2"/>
          <c:order val="2"/>
          <c:tx>
            <c:v>Egyéb lakáscélre nem használt ing.</c:v>
          </c:tx>
          <c:invertIfNegative val="0"/>
          <c:cat>
            <c:numRef>
              <c:f>'3. Mélyszegények-Romák'!$BM$4:$BM$9</c:f>
              <c:numCache>
                <c:formatCode>General</c:formatCode>
                <c:ptCount val="6"/>
                <c:pt idx="0">
                  <c:v>2015</c:v>
                </c:pt>
                <c:pt idx="1">
                  <c:v>2016</c:v>
                </c:pt>
                <c:pt idx="2">
                  <c:v>2017</c:v>
                </c:pt>
                <c:pt idx="3">
                  <c:v>2018</c:v>
                </c:pt>
                <c:pt idx="4">
                  <c:v>2019</c:v>
                </c:pt>
                <c:pt idx="5">
                  <c:v>2020</c:v>
                </c:pt>
              </c:numCache>
            </c:numRef>
          </c:cat>
          <c:val>
            <c:numRef>
              <c:f>'3. Mélyszegények-Romák'!$BT$4:$BT$9</c:f>
              <c:numCache>
                <c:formatCode>#\ ##0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B397-4063-8757-AF057913DB17}"/>
            </c:ext>
          </c:extLst>
        </c:ser>
        <c:dLbls>
          <c:showLegendKey val="0"/>
          <c:showVal val="0"/>
          <c:showCatName val="0"/>
          <c:showSerName val="0"/>
          <c:showPercent val="0"/>
          <c:showBubbleSize val="0"/>
        </c:dLbls>
        <c:gapWidth val="150"/>
        <c:axId val="2093683199"/>
        <c:axId val="1"/>
      </c:barChart>
      <c:catAx>
        <c:axId val="2093683199"/>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 ##0" sourceLinked="1"/>
        <c:majorTickMark val="out"/>
        <c:minorTickMark val="none"/>
        <c:tickLblPos val="nextTo"/>
        <c:crossAx val="2093683199"/>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83" b="0" i="0" u="none" strike="noStrike" kern="1200" spc="0" baseline="0">
                <a:solidFill>
                  <a:schemeClr val="tx1">
                    <a:lumMod val="65000"/>
                    <a:lumOff val="35000"/>
                  </a:schemeClr>
                </a:solidFill>
                <a:latin typeface="+mn-lt"/>
                <a:ea typeface="+mn-ea"/>
                <a:cs typeface="+mn-cs"/>
              </a:defRPr>
            </a:pPr>
            <a:r>
              <a:rPr lang="hu-HU" sz="1186" b="1">
                <a:solidFill>
                  <a:schemeClr val="tx1"/>
                </a:solidFill>
              </a:rPr>
              <a:t>Lakhatást segítő támogatások </a:t>
            </a:r>
            <a:endParaRPr lang="hu-HU" b="1">
              <a:solidFill>
                <a:schemeClr val="tx1"/>
              </a:solidFill>
            </a:endParaRPr>
          </a:p>
        </c:rich>
      </c:tx>
      <c:layout/>
      <c:overlay val="0"/>
      <c:spPr>
        <a:noFill/>
        <a:ln w="25125">
          <a:noFill/>
        </a:ln>
      </c:spPr>
    </c:title>
    <c:autoTitleDeleted val="0"/>
    <c:plotArea>
      <c:layout/>
      <c:barChart>
        <c:barDir val="col"/>
        <c:grouping val="stacked"/>
        <c:varyColors val="0"/>
        <c:ser>
          <c:idx val="2"/>
          <c:order val="0"/>
          <c:tx>
            <c:strRef>
              <c:f>'3. Mélyszegények-Romák'!$BW$2</c:f>
              <c:strCache>
                <c:ptCount val="1"/>
                <c:pt idx="0">
                  <c:v>Települési támogatásban részesítettek száma
(pénzbeli és természetbeni)
(TS 136)</c:v>
                </c:pt>
              </c:strCache>
            </c:strRef>
          </c:tx>
          <c:spPr>
            <a:solidFill>
              <a:srgbClr val="A5A5A5"/>
            </a:solidFill>
            <a:ln w="25125">
              <a:noFill/>
            </a:ln>
          </c:spPr>
          <c:invertIfNegative val="0"/>
          <c:cat>
            <c:numRef>
              <c:f>'3. Mélyszegények-Romák'!$BV$4:$BV$9</c:f>
              <c:numCache>
                <c:formatCode>General</c:formatCode>
                <c:ptCount val="6"/>
                <c:pt idx="0">
                  <c:v>2015</c:v>
                </c:pt>
                <c:pt idx="1">
                  <c:v>2016</c:v>
                </c:pt>
                <c:pt idx="2">
                  <c:v>2017</c:v>
                </c:pt>
                <c:pt idx="3">
                  <c:v>2018</c:v>
                </c:pt>
                <c:pt idx="4">
                  <c:v>2019</c:v>
                </c:pt>
                <c:pt idx="5">
                  <c:v>2020</c:v>
                </c:pt>
              </c:numCache>
            </c:numRef>
          </c:cat>
          <c:val>
            <c:numRef>
              <c:f>'3. Mélyszegények-Romák'!$BW$4:$BW$9</c:f>
              <c:numCache>
                <c:formatCode>0</c:formatCode>
                <c:ptCount val="6"/>
                <c:pt idx="0">
                  <c:v>0</c:v>
                </c:pt>
                <c:pt idx="1">
                  <c:v>0</c:v>
                </c:pt>
                <c:pt idx="2">
                  <c:v>1020</c:v>
                </c:pt>
                <c:pt idx="3">
                  <c:v>875</c:v>
                </c:pt>
                <c:pt idx="4">
                  <c:v>953</c:v>
                </c:pt>
                <c:pt idx="5">
                  <c:v>0</c:v>
                </c:pt>
              </c:numCache>
            </c:numRef>
          </c:val>
          <c:extLst>
            <c:ext xmlns:c16="http://schemas.microsoft.com/office/drawing/2014/chart" uri="{C3380CC4-5D6E-409C-BE32-E72D297353CC}">
              <c16:uniqueId val="{00000000-D8A4-4C36-9CB5-986D3F0A4B3A}"/>
            </c:ext>
          </c:extLst>
        </c:ser>
        <c:ser>
          <c:idx val="3"/>
          <c:order val="1"/>
          <c:tx>
            <c:strRef>
              <c:f>'3. Mélyszegények-Romák'!$BX$2</c:f>
              <c:strCache>
                <c:ptCount val="1"/>
                <c:pt idx="0">
                  <c:v>Egyéb önkormányzati támogatásban 
részesítettek száma
(TS 137)</c:v>
                </c:pt>
              </c:strCache>
            </c:strRef>
          </c:tx>
          <c:spPr>
            <a:solidFill>
              <a:srgbClr val="FFC000"/>
            </a:solidFill>
            <a:ln w="25125">
              <a:noFill/>
            </a:ln>
          </c:spPr>
          <c:invertIfNegative val="0"/>
          <c:cat>
            <c:numRef>
              <c:f>'3. Mélyszegények-Romák'!$BV$4:$BV$9</c:f>
              <c:numCache>
                <c:formatCode>General</c:formatCode>
                <c:ptCount val="6"/>
                <c:pt idx="0">
                  <c:v>2015</c:v>
                </c:pt>
                <c:pt idx="1">
                  <c:v>2016</c:v>
                </c:pt>
                <c:pt idx="2">
                  <c:v>2017</c:v>
                </c:pt>
                <c:pt idx="3">
                  <c:v>2018</c:v>
                </c:pt>
                <c:pt idx="4">
                  <c:v>2019</c:v>
                </c:pt>
                <c:pt idx="5">
                  <c:v>2020</c:v>
                </c:pt>
              </c:numCache>
            </c:numRef>
          </c:cat>
          <c:val>
            <c:numRef>
              <c:f>'3. Mélyszegények-Romák'!$BX$4:$BX$9</c:f>
              <c:numCache>
                <c:formatCode>0</c:formatCode>
                <c:ptCount val="6"/>
                <c:pt idx="0">
                  <c:v>0</c:v>
                </c:pt>
                <c:pt idx="1">
                  <c:v>0</c:v>
                </c:pt>
                <c:pt idx="2">
                  <c:v>6</c:v>
                </c:pt>
                <c:pt idx="3">
                  <c:v>6</c:v>
                </c:pt>
                <c:pt idx="4">
                  <c:v>4</c:v>
                </c:pt>
                <c:pt idx="5">
                  <c:v>0</c:v>
                </c:pt>
              </c:numCache>
            </c:numRef>
          </c:val>
          <c:extLst>
            <c:ext xmlns:c16="http://schemas.microsoft.com/office/drawing/2014/chart" uri="{C3380CC4-5D6E-409C-BE32-E72D297353CC}">
              <c16:uniqueId val="{00000001-D8A4-4C36-9CB5-986D3F0A4B3A}"/>
            </c:ext>
          </c:extLst>
        </c:ser>
        <c:dLbls>
          <c:showLegendKey val="0"/>
          <c:showVal val="0"/>
          <c:showCatName val="0"/>
          <c:showSerName val="0"/>
          <c:showPercent val="0"/>
          <c:showBubbleSize val="0"/>
        </c:dLbls>
        <c:gapWidth val="150"/>
        <c:overlap val="100"/>
        <c:axId val="2095061679"/>
        <c:axId val="1"/>
      </c:barChart>
      <c:catAx>
        <c:axId val="2095061679"/>
        <c:scaling>
          <c:orientation val="minMax"/>
        </c:scaling>
        <c:delete val="0"/>
        <c:axPos val="b"/>
        <c:numFmt formatCode="General" sourceLinked="1"/>
        <c:majorTickMark val="none"/>
        <c:minorTickMark val="none"/>
        <c:tickLblPos val="nextTo"/>
        <c:spPr>
          <a:noFill/>
          <a:ln w="9410" cap="flat" cmpd="sng" algn="ctr">
            <a:solidFill>
              <a:schemeClr val="tx1">
                <a:lumMod val="15000"/>
                <a:lumOff val="85000"/>
              </a:schemeClr>
            </a:solidFill>
            <a:round/>
          </a:ln>
          <a:effectLst/>
        </c:spPr>
        <c:txPr>
          <a:bodyPr rot="-60000000" spcFirstLastPara="1" vertOverflow="ellipsis" vert="horz" wrap="square" anchor="ctr" anchorCtr="1"/>
          <a:lstStyle/>
          <a:p>
            <a:pPr>
              <a:defRPr sz="889"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9410" cap="flat" cmpd="sng" algn="ctr">
              <a:solidFill>
                <a:schemeClr val="tx1">
                  <a:lumMod val="15000"/>
                  <a:lumOff val="85000"/>
                </a:schemeClr>
              </a:solidFill>
              <a:round/>
            </a:ln>
            <a:effectLst/>
          </c:spPr>
        </c:majorGridlines>
        <c:numFmt formatCode="0" sourceLinked="1"/>
        <c:majorTickMark val="none"/>
        <c:minorTickMark val="none"/>
        <c:tickLblPos val="nextTo"/>
        <c:spPr>
          <a:ln w="6281">
            <a:noFill/>
          </a:ln>
        </c:spPr>
        <c:txPr>
          <a:bodyPr rot="-60000000" spcFirstLastPara="1" vertOverflow="ellipsis" vert="horz" wrap="square" anchor="ctr" anchorCtr="1"/>
          <a:lstStyle/>
          <a:p>
            <a:pPr>
              <a:defRPr sz="889" b="0" i="0" u="none" strike="noStrike" kern="1200" baseline="0">
                <a:solidFill>
                  <a:schemeClr val="tx1">
                    <a:lumMod val="65000"/>
                    <a:lumOff val="35000"/>
                  </a:schemeClr>
                </a:solidFill>
                <a:latin typeface="+mn-lt"/>
                <a:ea typeface="+mn-ea"/>
                <a:cs typeface="+mn-cs"/>
              </a:defRPr>
            </a:pPr>
            <a:endParaRPr lang="hu-HU"/>
          </a:p>
        </c:txPr>
        <c:crossAx val="2095061679"/>
        <c:crosses val="autoZero"/>
        <c:crossBetween val="between"/>
      </c:valAx>
      <c:spPr>
        <a:noFill/>
        <a:ln w="25125">
          <a:noFill/>
        </a:ln>
      </c:spPr>
    </c:plotArea>
    <c:legend>
      <c:legendPos val="r"/>
      <c:layout/>
      <c:overlay val="0"/>
      <c:spPr>
        <a:noFill/>
        <a:ln w="25125">
          <a:noFill/>
        </a:ln>
      </c:spPr>
      <c:txPr>
        <a:bodyPr rot="0" spcFirstLastPara="1" vertOverflow="ellipsis" vert="horz" wrap="square" anchor="ctr" anchorCtr="1"/>
        <a:lstStyle/>
        <a:p>
          <a:pPr>
            <a:defRPr sz="889"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410"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sz="1175"/>
              <a:t>Védelembe</a:t>
            </a:r>
            <a:r>
              <a:rPr lang="hu-HU" sz="1175" baseline="0"/>
              <a:t> vett és veszélyeztetett kiskorú (fő)</a:t>
            </a:r>
            <a:endParaRPr lang="hu-HU" sz="1200"/>
          </a:p>
        </c:rich>
      </c:tx>
      <c:layout/>
      <c:overlay val="0"/>
      <c:spPr>
        <a:noFill/>
        <a:ln w="24867">
          <a:noFill/>
        </a:ln>
      </c:spPr>
    </c:title>
    <c:autoTitleDeleted val="0"/>
    <c:plotArea>
      <c:layout/>
      <c:barChart>
        <c:barDir val="col"/>
        <c:grouping val="clustered"/>
        <c:varyColors val="0"/>
        <c:ser>
          <c:idx val="0"/>
          <c:order val="0"/>
          <c:tx>
            <c:v>Védelembe vett kiskorú</c:v>
          </c:tx>
          <c:invertIfNegative val="0"/>
          <c:cat>
            <c:numRef>
              <c:f>'4. Gyermekek'!$I$4:$I$9</c:f>
              <c:numCache>
                <c:formatCode>General</c:formatCode>
                <c:ptCount val="6"/>
                <c:pt idx="0">
                  <c:v>2015</c:v>
                </c:pt>
                <c:pt idx="1">
                  <c:v>2016</c:v>
                </c:pt>
                <c:pt idx="2">
                  <c:v>2017</c:v>
                </c:pt>
                <c:pt idx="3">
                  <c:v>2018</c:v>
                </c:pt>
                <c:pt idx="4">
                  <c:v>2019</c:v>
                </c:pt>
                <c:pt idx="5">
                  <c:v>2020</c:v>
                </c:pt>
              </c:numCache>
            </c:numRef>
          </c:cat>
          <c:val>
            <c:numRef>
              <c:f>'4. Gyermekek'!$J$4:$J$9</c:f>
              <c:numCache>
                <c:formatCode>0</c:formatCode>
                <c:ptCount val="6"/>
                <c:pt idx="0">
                  <c:v>19</c:v>
                </c:pt>
                <c:pt idx="1">
                  <c:v>16</c:v>
                </c:pt>
                <c:pt idx="2">
                  <c:v>15</c:v>
                </c:pt>
                <c:pt idx="3">
                  <c:v>13</c:v>
                </c:pt>
                <c:pt idx="4">
                  <c:v>8</c:v>
                </c:pt>
                <c:pt idx="5">
                  <c:v>0</c:v>
                </c:pt>
              </c:numCache>
            </c:numRef>
          </c:val>
          <c:extLst>
            <c:ext xmlns:c16="http://schemas.microsoft.com/office/drawing/2014/chart" uri="{C3380CC4-5D6E-409C-BE32-E72D297353CC}">
              <c16:uniqueId val="{00000000-69B3-4E49-83C8-A2B883E3BE54}"/>
            </c:ext>
          </c:extLst>
        </c:ser>
        <c:ser>
          <c:idx val="2"/>
          <c:order val="1"/>
          <c:tx>
            <c:v>Veszélyeztetett kiskorú</c:v>
          </c:tx>
          <c:invertIfNegative val="0"/>
          <c:cat>
            <c:numRef>
              <c:f>'4. Gyermekek'!$I$4:$I$9</c:f>
              <c:numCache>
                <c:formatCode>General</c:formatCode>
                <c:ptCount val="6"/>
                <c:pt idx="0">
                  <c:v>2015</c:v>
                </c:pt>
                <c:pt idx="1">
                  <c:v>2016</c:v>
                </c:pt>
                <c:pt idx="2">
                  <c:v>2017</c:v>
                </c:pt>
                <c:pt idx="3">
                  <c:v>2018</c:v>
                </c:pt>
                <c:pt idx="4">
                  <c:v>2019</c:v>
                </c:pt>
                <c:pt idx="5">
                  <c:v>2020</c:v>
                </c:pt>
              </c:numCache>
            </c:numRef>
          </c:cat>
          <c:val>
            <c:numRef>
              <c:f>'4. Gyermekek'!$K$4:$K$9</c:f>
              <c:numCache>
                <c:formatCode>0</c:formatCode>
                <c:ptCount val="6"/>
                <c:pt idx="0">
                  <c:v>79</c:v>
                </c:pt>
                <c:pt idx="1">
                  <c:v>79</c:v>
                </c:pt>
                <c:pt idx="2">
                  <c:v>68</c:v>
                </c:pt>
                <c:pt idx="3">
                  <c:v>35</c:v>
                </c:pt>
                <c:pt idx="4">
                  <c:v>53</c:v>
                </c:pt>
                <c:pt idx="5">
                  <c:v>0</c:v>
                </c:pt>
              </c:numCache>
            </c:numRef>
          </c:val>
          <c:extLst>
            <c:ext xmlns:c16="http://schemas.microsoft.com/office/drawing/2014/chart" uri="{C3380CC4-5D6E-409C-BE32-E72D297353CC}">
              <c16:uniqueId val="{00000001-69B3-4E49-83C8-A2B883E3BE54}"/>
            </c:ext>
          </c:extLst>
        </c:ser>
        <c:dLbls>
          <c:showLegendKey val="0"/>
          <c:showVal val="0"/>
          <c:showCatName val="0"/>
          <c:showSerName val="0"/>
          <c:showPercent val="0"/>
          <c:showBubbleSize val="0"/>
        </c:dLbls>
        <c:gapWidth val="150"/>
        <c:axId val="248106816"/>
        <c:axId val="1"/>
      </c:barChart>
      <c:catAx>
        <c:axId val="248106816"/>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crossAx val="248106816"/>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sz="1199"/>
              <a:t>Rendszeres gyermekvédelmi kedvezményben részesítettek</a:t>
            </a:r>
            <a:r>
              <a:rPr lang="hu-HU" sz="1199" baseline="0"/>
              <a:t> száma</a:t>
            </a:r>
            <a:endParaRPr lang="hu-HU" sz="1200"/>
          </a:p>
        </c:rich>
      </c:tx>
      <c:layout/>
      <c:overlay val="0"/>
      <c:spPr>
        <a:noFill/>
        <a:ln w="25398">
          <a:noFill/>
        </a:ln>
      </c:spPr>
    </c:title>
    <c:autoTitleDeleted val="0"/>
    <c:plotArea>
      <c:layout/>
      <c:barChart>
        <c:barDir val="col"/>
        <c:grouping val="clustered"/>
        <c:varyColors val="0"/>
        <c:ser>
          <c:idx val="0"/>
          <c:order val="0"/>
          <c:tx>
            <c:v>Rendszeres gyermekvédelmi kedvezményezettek száma</c:v>
          </c:tx>
          <c:invertIfNegative val="0"/>
          <c:cat>
            <c:numRef>
              <c:f>'4. Gyermekek'!$M$4:$M$9</c:f>
              <c:numCache>
                <c:formatCode>General</c:formatCode>
                <c:ptCount val="6"/>
                <c:pt idx="0">
                  <c:v>2015</c:v>
                </c:pt>
                <c:pt idx="1">
                  <c:v>2016</c:v>
                </c:pt>
                <c:pt idx="2">
                  <c:v>2017</c:v>
                </c:pt>
                <c:pt idx="3">
                  <c:v>2018</c:v>
                </c:pt>
                <c:pt idx="4">
                  <c:v>2019</c:v>
                </c:pt>
                <c:pt idx="5">
                  <c:v>2020</c:v>
                </c:pt>
              </c:numCache>
            </c:numRef>
          </c:cat>
          <c:val>
            <c:numRef>
              <c:f>'4. Gyermekek'!$N$4:$N$9</c:f>
              <c:numCache>
                <c:formatCode>0</c:formatCode>
                <c:ptCount val="6"/>
                <c:pt idx="0">
                  <c:v>195</c:v>
                </c:pt>
                <c:pt idx="1">
                  <c:v>162</c:v>
                </c:pt>
                <c:pt idx="2">
                  <c:v>167</c:v>
                </c:pt>
                <c:pt idx="3">
                  <c:v>108</c:v>
                </c:pt>
                <c:pt idx="4">
                  <c:v>75</c:v>
                </c:pt>
                <c:pt idx="5">
                  <c:v>85</c:v>
                </c:pt>
              </c:numCache>
            </c:numRef>
          </c:val>
          <c:extLst>
            <c:ext xmlns:c16="http://schemas.microsoft.com/office/drawing/2014/chart" uri="{C3380CC4-5D6E-409C-BE32-E72D297353CC}">
              <c16:uniqueId val="{00000000-DA02-4951-8C1D-E49051F442AF}"/>
            </c:ext>
          </c:extLst>
        </c:ser>
        <c:dLbls>
          <c:showLegendKey val="0"/>
          <c:showVal val="0"/>
          <c:showCatName val="0"/>
          <c:showSerName val="0"/>
          <c:showPercent val="0"/>
          <c:showBubbleSize val="0"/>
        </c:dLbls>
        <c:gapWidth val="150"/>
        <c:axId val="299691904"/>
        <c:axId val="1"/>
      </c:barChart>
      <c:catAx>
        <c:axId val="299691904"/>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crossAx val="299691904"/>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sz="1188"/>
              <a:t>Árvaellátásban részesülők száma</a:t>
            </a:r>
          </a:p>
        </c:rich>
      </c:tx>
      <c:layout/>
      <c:overlay val="0"/>
      <c:spPr>
        <a:noFill/>
        <a:ln w="25169">
          <a:noFill/>
        </a:ln>
      </c:spPr>
    </c:title>
    <c:autoTitleDeleted val="0"/>
    <c:plotArea>
      <c:layout/>
      <c:barChart>
        <c:barDir val="col"/>
        <c:grouping val="clustered"/>
        <c:varyColors val="0"/>
        <c:ser>
          <c:idx val="0"/>
          <c:order val="0"/>
          <c:tx>
            <c:strRef>
              <c:f>'4. Gyermekek'!$Q$2</c:f>
              <c:strCache>
                <c:ptCount val="1"/>
                <c:pt idx="0">
                  <c:v>Árvaellátásban részesülő 
férfiak száma (fő)
(TS 065) </c:v>
                </c:pt>
              </c:strCache>
            </c:strRef>
          </c:tx>
          <c:invertIfNegative val="0"/>
          <c:cat>
            <c:numRef>
              <c:f>'4. Gyermekek'!$P$4:$P$9</c:f>
              <c:numCache>
                <c:formatCode>General</c:formatCode>
                <c:ptCount val="6"/>
                <c:pt idx="0">
                  <c:v>2015</c:v>
                </c:pt>
                <c:pt idx="1">
                  <c:v>2016</c:v>
                </c:pt>
                <c:pt idx="2">
                  <c:v>2017</c:v>
                </c:pt>
                <c:pt idx="3">
                  <c:v>2018</c:v>
                </c:pt>
                <c:pt idx="4">
                  <c:v>2019</c:v>
                </c:pt>
                <c:pt idx="5">
                  <c:v>2020</c:v>
                </c:pt>
              </c:numCache>
            </c:numRef>
          </c:cat>
          <c:val>
            <c:numRef>
              <c:f>'4. Gyermekek'!$Q$4:$Q$9</c:f>
              <c:numCache>
                <c:formatCode>0</c:formatCode>
                <c:ptCount val="6"/>
                <c:pt idx="0">
                  <c:v>22</c:v>
                </c:pt>
                <c:pt idx="1">
                  <c:v>20</c:v>
                </c:pt>
                <c:pt idx="2">
                  <c:v>20</c:v>
                </c:pt>
                <c:pt idx="3">
                  <c:v>20</c:v>
                </c:pt>
                <c:pt idx="4">
                  <c:v>24</c:v>
                </c:pt>
                <c:pt idx="5">
                  <c:v>0</c:v>
                </c:pt>
              </c:numCache>
            </c:numRef>
          </c:val>
          <c:extLst>
            <c:ext xmlns:c16="http://schemas.microsoft.com/office/drawing/2014/chart" uri="{C3380CC4-5D6E-409C-BE32-E72D297353CC}">
              <c16:uniqueId val="{00000000-2DB6-403A-8495-05E68DB3FF05}"/>
            </c:ext>
          </c:extLst>
        </c:ser>
        <c:ser>
          <c:idx val="1"/>
          <c:order val="1"/>
          <c:tx>
            <c:strRef>
              <c:f>'4. Gyermekek'!$R$2</c:f>
              <c:strCache>
                <c:ptCount val="1"/>
                <c:pt idx="0">
                  <c:v>Árvaellátásban részesülő 
nők száma (fő)
(TS 066)</c:v>
                </c:pt>
              </c:strCache>
            </c:strRef>
          </c:tx>
          <c:invertIfNegative val="0"/>
          <c:cat>
            <c:numRef>
              <c:f>'4. Gyermekek'!$P$4:$P$9</c:f>
              <c:numCache>
                <c:formatCode>General</c:formatCode>
                <c:ptCount val="6"/>
                <c:pt idx="0">
                  <c:v>2015</c:v>
                </c:pt>
                <c:pt idx="1">
                  <c:v>2016</c:v>
                </c:pt>
                <c:pt idx="2">
                  <c:v>2017</c:v>
                </c:pt>
                <c:pt idx="3">
                  <c:v>2018</c:v>
                </c:pt>
                <c:pt idx="4">
                  <c:v>2019</c:v>
                </c:pt>
                <c:pt idx="5">
                  <c:v>2020</c:v>
                </c:pt>
              </c:numCache>
            </c:numRef>
          </c:cat>
          <c:val>
            <c:numRef>
              <c:f>'4. Gyermekek'!$R$4:$R$9</c:f>
              <c:numCache>
                <c:formatCode>0</c:formatCode>
                <c:ptCount val="6"/>
                <c:pt idx="0">
                  <c:v>19</c:v>
                </c:pt>
                <c:pt idx="1">
                  <c:v>18</c:v>
                </c:pt>
                <c:pt idx="2">
                  <c:v>19</c:v>
                </c:pt>
                <c:pt idx="3">
                  <c:v>18</c:v>
                </c:pt>
                <c:pt idx="4">
                  <c:v>17</c:v>
                </c:pt>
                <c:pt idx="5">
                  <c:v>0</c:v>
                </c:pt>
              </c:numCache>
            </c:numRef>
          </c:val>
          <c:extLst>
            <c:ext xmlns:c16="http://schemas.microsoft.com/office/drawing/2014/chart" uri="{C3380CC4-5D6E-409C-BE32-E72D297353CC}">
              <c16:uniqueId val="{00000001-2DB6-403A-8495-05E68DB3FF05}"/>
            </c:ext>
          </c:extLst>
        </c:ser>
        <c:ser>
          <c:idx val="2"/>
          <c:order val="2"/>
          <c:tx>
            <c:strRef>
              <c:f>'4. Gyermekek'!$S$2</c:f>
              <c:strCache>
                <c:ptCount val="1"/>
                <c:pt idx="0">
                  <c:v>Árvaellátásban
 részesülők összesen</c:v>
                </c:pt>
              </c:strCache>
            </c:strRef>
          </c:tx>
          <c:invertIfNegative val="0"/>
          <c:cat>
            <c:numRef>
              <c:f>'4. Gyermekek'!$P$4:$P$9</c:f>
              <c:numCache>
                <c:formatCode>General</c:formatCode>
                <c:ptCount val="6"/>
                <c:pt idx="0">
                  <c:v>2015</c:v>
                </c:pt>
                <c:pt idx="1">
                  <c:v>2016</c:v>
                </c:pt>
                <c:pt idx="2">
                  <c:v>2017</c:v>
                </c:pt>
                <c:pt idx="3">
                  <c:v>2018</c:v>
                </c:pt>
                <c:pt idx="4">
                  <c:v>2019</c:v>
                </c:pt>
                <c:pt idx="5">
                  <c:v>2020</c:v>
                </c:pt>
              </c:numCache>
            </c:numRef>
          </c:cat>
          <c:val>
            <c:numRef>
              <c:f>'4. Gyermekek'!$S$4:$S$9</c:f>
              <c:numCache>
                <c:formatCode>#\ ##0</c:formatCode>
                <c:ptCount val="6"/>
                <c:pt idx="0">
                  <c:v>41</c:v>
                </c:pt>
                <c:pt idx="1">
                  <c:v>38</c:v>
                </c:pt>
                <c:pt idx="2">
                  <c:v>39</c:v>
                </c:pt>
                <c:pt idx="3">
                  <c:v>38</c:v>
                </c:pt>
                <c:pt idx="4">
                  <c:v>41</c:v>
                </c:pt>
                <c:pt idx="5">
                  <c:v>0</c:v>
                </c:pt>
              </c:numCache>
            </c:numRef>
          </c:val>
          <c:extLst>
            <c:ext xmlns:c16="http://schemas.microsoft.com/office/drawing/2014/chart" uri="{C3380CC4-5D6E-409C-BE32-E72D297353CC}">
              <c16:uniqueId val="{00000002-2DB6-403A-8495-05E68DB3FF05}"/>
            </c:ext>
          </c:extLst>
        </c:ser>
        <c:dLbls>
          <c:showLegendKey val="0"/>
          <c:showVal val="0"/>
          <c:showCatName val="0"/>
          <c:showSerName val="0"/>
          <c:showPercent val="0"/>
          <c:showBubbleSize val="0"/>
        </c:dLbls>
        <c:gapWidth val="150"/>
        <c:axId val="329802320"/>
        <c:axId val="1"/>
      </c:barChart>
      <c:catAx>
        <c:axId val="329802320"/>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crossAx val="329802320"/>
        <c:crosses val="autoZero"/>
        <c:crossBetween val="between"/>
      </c:valAx>
    </c:plotArea>
    <c:legend>
      <c:legendPos val="b"/>
      <c:layout/>
      <c:overlay val="0"/>
      <c:txPr>
        <a:bodyPr/>
        <a:lstStyle/>
        <a:p>
          <a:pPr>
            <a:defRPr sz="891"/>
          </a:pPr>
          <a:endParaRPr lang="hu-HU"/>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sz="1188"/>
              <a:t>Védőnői álláshelyek (db)</a:t>
            </a:r>
          </a:p>
        </c:rich>
      </c:tx>
      <c:layout/>
      <c:overlay val="0"/>
      <c:spPr>
        <a:noFill/>
        <a:ln w="25147">
          <a:noFill/>
        </a:ln>
      </c:spPr>
    </c:title>
    <c:autoTitleDeleted val="0"/>
    <c:plotArea>
      <c:layout/>
      <c:barChart>
        <c:barDir val="col"/>
        <c:grouping val="clustered"/>
        <c:varyColors val="0"/>
        <c:ser>
          <c:idx val="0"/>
          <c:order val="0"/>
          <c:tx>
            <c:v>Védőnői álláshelyek</c:v>
          </c:tx>
          <c:invertIfNegative val="0"/>
          <c:cat>
            <c:numRef>
              <c:f>'4. Gyermekek'!$AC$4:$AC$9</c:f>
              <c:numCache>
                <c:formatCode>General</c:formatCode>
                <c:ptCount val="6"/>
                <c:pt idx="0">
                  <c:v>2015</c:v>
                </c:pt>
                <c:pt idx="1">
                  <c:v>2016</c:v>
                </c:pt>
                <c:pt idx="2">
                  <c:v>2017</c:v>
                </c:pt>
                <c:pt idx="3">
                  <c:v>2018</c:v>
                </c:pt>
                <c:pt idx="4">
                  <c:v>2019</c:v>
                </c:pt>
                <c:pt idx="5">
                  <c:v>2020</c:v>
                </c:pt>
              </c:numCache>
            </c:numRef>
          </c:cat>
          <c:val>
            <c:numRef>
              <c:f>'4. Gyermekek'!$AD$4:$AD$9</c:f>
              <c:numCache>
                <c:formatCode>0</c:formatCode>
                <c:ptCount val="6"/>
                <c:pt idx="0">
                  <c:v>2</c:v>
                </c:pt>
                <c:pt idx="1">
                  <c:v>2</c:v>
                </c:pt>
                <c:pt idx="2">
                  <c:v>2</c:v>
                </c:pt>
                <c:pt idx="3">
                  <c:v>2</c:v>
                </c:pt>
                <c:pt idx="4">
                  <c:v>2</c:v>
                </c:pt>
                <c:pt idx="5">
                  <c:v>2</c:v>
                </c:pt>
              </c:numCache>
            </c:numRef>
          </c:val>
          <c:extLst>
            <c:ext xmlns:c16="http://schemas.microsoft.com/office/drawing/2014/chart" uri="{C3380CC4-5D6E-409C-BE32-E72D297353CC}">
              <c16:uniqueId val="{00000000-3710-491F-B7D1-C655FC4738F5}"/>
            </c:ext>
          </c:extLst>
        </c:ser>
        <c:dLbls>
          <c:showLegendKey val="0"/>
          <c:showVal val="0"/>
          <c:showCatName val="0"/>
          <c:showSerName val="0"/>
          <c:showPercent val="0"/>
          <c:showBubbleSize val="0"/>
        </c:dLbls>
        <c:gapWidth val="150"/>
        <c:axId val="299969184"/>
        <c:axId val="1"/>
      </c:barChart>
      <c:catAx>
        <c:axId val="299969184"/>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crossAx val="299969184"/>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hu-HU" sz="1200"/>
              <a:t>Állandó népesség</a:t>
            </a:r>
            <a:r>
              <a:rPr lang="hu-HU" sz="1200" baseline="0"/>
              <a:t> - férfiak életkori megoszlása</a:t>
            </a:r>
          </a:p>
          <a:p>
            <a:pPr>
              <a:defRPr sz="1200"/>
            </a:pPr>
            <a:endParaRPr lang="hu-HU" sz="1200"/>
          </a:p>
        </c:rich>
      </c:tx>
      <c:layout/>
      <c:overlay val="0"/>
    </c:title>
    <c:autoTitleDeleted val="0"/>
    <c:plotArea>
      <c:layout>
        <c:manualLayout>
          <c:layoutTarget val="inner"/>
          <c:xMode val="edge"/>
          <c:yMode val="edge"/>
          <c:x val="0.19828669901110843"/>
          <c:y val="0.20171325185540739"/>
          <c:w val="0.38293175683776337"/>
          <c:h val="0.74273961604241034"/>
        </c:manualLayout>
      </c:layout>
      <c:pieChart>
        <c:varyColors val="1"/>
        <c:ser>
          <c:idx val="0"/>
          <c:order val="0"/>
          <c:tx>
            <c:strRef>
              <c:f>'Település Bemutatása - Népesség'!$G$3</c:f>
              <c:strCache>
                <c:ptCount val="1"/>
                <c:pt idx="0">
                  <c:v>Férfiak</c:v>
                </c:pt>
              </c:strCache>
            </c:strRef>
          </c:tx>
          <c:spPr>
            <a:ln>
              <a:solidFill>
                <a:schemeClr val="bg1">
                  <a:lumMod val="95000"/>
                </a:schemeClr>
              </a:solidFill>
            </a:ln>
          </c:spPr>
          <c:dPt>
            <c:idx val="0"/>
            <c:bubble3D val="0"/>
            <c:extLst>
              <c:ext xmlns:c16="http://schemas.microsoft.com/office/drawing/2014/chart" uri="{C3380CC4-5D6E-409C-BE32-E72D297353CC}">
                <c16:uniqueId val="{00000000-3024-4793-8582-010B25D28E15}"/>
              </c:ext>
            </c:extLst>
          </c:dPt>
          <c:dPt>
            <c:idx val="1"/>
            <c:bubble3D val="0"/>
            <c:spPr>
              <a:solidFill>
                <a:srgbClr val="7030A0"/>
              </a:solidFill>
              <a:ln>
                <a:solidFill>
                  <a:schemeClr val="bg1">
                    <a:lumMod val="95000"/>
                  </a:schemeClr>
                </a:solidFill>
              </a:ln>
            </c:spPr>
            <c:extLst>
              <c:ext xmlns:c16="http://schemas.microsoft.com/office/drawing/2014/chart" uri="{C3380CC4-5D6E-409C-BE32-E72D297353CC}">
                <c16:uniqueId val="{00000001-3024-4793-8582-010B25D28E15}"/>
              </c:ext>
            </c:extLst>
          </c:dPt>
          <c:dPt>
            <c:idx val="2"/>
            <c:bubble3D val="0"/>
            <c:spPr>
              <a:solidFill>
                <a:srgbClr val="92D050"/>
              </a:solidFill>
              <a:ln>
                <a:solidFill>
                  <a:schemeClr val="bg1">
                    <a:lumMod val="95000"/>
                  </a:schemeClr>
                </a:solidFill>
              </a:ln>
            </c:spPr>
            <c:extLst>
              <c:ext xmlns:c16="http://schemas.microsoft.com/office/drawing/2014/chart" uri="{C3380CC4-5D6E-409C-BE32-E72D297353CC}">
                <c16:uniqueId val="{00000002-3024-4793-8582-010B25D28E15}"/>
              </c:ext>
            </c:extLst>
          </c:dPt>
          <c:dPt>
            <c:idx val="3"/>
            <c:bubble3D val="0"/>
            <c:extLst>
              <c:ext xmlns:c16="http://schemas.microsoft.com/office/drawing/2014/chart" uri="{C3380CC4-5D6E-409C-BE32-E72D297353CC}">
                <c16:uniqueId val="{00000003-3024-4793-8582-010B25D28E15}"/>
              </c:ext>
            </c:extLst>
          </c:dPt>
          <c:dPt>
            <c:idx val="4"/>
            <c:bubble3D val="0"/>
            <c:spPr>
              <a:solidFill>
                <a:srgbClr val="FF0000"/>
              </a:solidFill>
              <a:ln>
                <a:solidFill>
                  <a:schemeClr val="bg1">
                    <a:lumMod val="95000"/>
                  </a:schemeClr>
                </a:solidFill>
              </a:ln>
            </c:spPr>
            <c:extLst>
              <c:ext xmlns:c16="http://schemas.microsoft.com/office/drawing/2014/chart" uri="{C3380CC4-5D6E-409C-BE32-E72D297353CC}">
                <c16:uniqueId val="{00000004-3024-4793-8582-010B25D28E15}"/>
              </c:ext>
            </c:extLst>
          </c:dPt>
          <c:dLbls>
            <c:dLbl>
              <c:idx val="2"/>
              <c:layout>
                <c:manualLayout>
                  <c:x val="6.7487573594455258E-2"/>
                  <c:y val="-0.13870206716783159"/>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3024-4793-8582-010B25D28E15}"/>
                </c:ext>
              </c:extLst>
            </c:dLbl>
            <c:spPr>
              <a:noFill/>
              <a:ln w="25402">
                <a:noFill/>
              </a:ln>
            </c:spPr>
            <c:txPr>
              <a:bodyPr wrap="square" lIns="38100" tIns="19050" rIns="38100" bIns="19050" anchor="ctr">
                <a:spAutoFit/>
              </a:bodyPr>
              <a:lstStyle/>
              <a:p>
                <a:pPr>
                  <a:defRPr b="1"/>
                </a:pPr>
                <a:endParaRPr lang="hu-H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Lit>
              <c:ptCount val="5"/>
              <c:pt idx="0">
                <c:v>'0-14 évesek</c:v>
              </c:pt>
              <c:pt idx="1">
                <c:v>15-17 évesek</c:v>
              </c:pt>
              <c:pt idx="2">
                <c:v>18-59 évesek</c:v>
              </c:pt>
              <c:pt idx="3">
                <c:v>60-64 évesek</c:v>
              </c:pt>
              <c:pt idx="4">
                <c:v>65 év felettiek'</c:v>
              </c:pt>
            </c:strLit>
          </c:cat>
          <c:val>
            <c:numRef>
              <c:f>'Település Bemutatása - Népesség'!$G$6:$G$10</c:f>
              <c:numCache>
                <c:formatCode>General</c:formatCode>
                <c:ptCount val="5"/>
                <c:pt idx="0">
                  <c:v>304</c:v>
                </c:pt>
                <c:pt idx="1">
                  <c:v>80</c:v>
                </c:pt>
                <c:pt idx="2">
                  <c:v>1401</c:v>
                </c:pt>
                <c:pt idx="3">
                  <c:v>205</c:v>
                </c:pt>
                <c:pt idx="4">
                  <c:v>370</c:v>
                </c:pt>
              </c:numCache>
            </c:numRef>
          </c:val>
          <c:extLst>
            <c:ext xmlns:c16="http://schemas.microsoft.com/office/drawing/2014/chart" uri="{C3380CC4-5D6E-409C-BE32-E72D297353CC}">
              <c16:uniqueId val="{00000005-3024-4793-8582-010B25D28E15}"/>
            </c:ext>
          </c:extLst>
        </c:ser>
        <c:dLbls>
          <c:showLegendKey val="0"/>
          <c:showVal val="0"/>
          <c:showCatName val="0"/>
          <c:showSerName val="0"/>
          <c:showPercent val="0"/>
          <c:showBubbleSize val="0"/>
          <c:showLeaderLines val="1"/>
        </c:dLbls>
        <c:firstSliceAng val="0"/>
      </c:pieChart>
      <c:spPr>
        <a:noFill/>
        <a:ln w="25402">
          <a:noFill/>
        </a:ln>
      </c:spPr>
    </c:plotArea>
    <c:legend>
      <c:legendPos val="r"/>
      <c:layout>
        <c:manualLayout>
          <c:xMode val="edge"/>
          <c:yMode val="edge"/>
          <c:x val="0.72215526392534268"/>
          <c:y val="0.28021532602542332"/>
          <c:w val="0.23994167395742194"/>
          <c:h val="0.56578045391384901"/>
        </c:manualLayout>
      </c:layout>
      <c:overlay val="0"/>
      <c:txPr>
        <a:bodyPr/>
        <a:lstStyle/>
        <a:p>
          <a:pPr rtl="0">
            <a:defRPr sz="1100"/>
          </a:pPr>
          <a:endParaRPr lang="hu-HU"/>
        </a:p>
      </c:txPr>
    </c:legend>
    <c:plotVisOnly val="1"/>
    <c:dispBlanksAs val="zero"/>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hu-HU" sz="1187"/>
              <a:t>Egy védőnőre jutó gyermekek száma (fő)</a:t>
            </a:r>
          </a:p>
        </c:rich>
      </c:tx>
      <c:layout/>
      <c:overlay val="0"/>
      <c:spPr>
        <a:noFill/>
        <a:ln w="25146">
          <a:noFill/>
        </a:ln>
      </c:spPr>
    </c:title>
    <c:autoTitleDeleted val="0"/>
    <c:plotArea>
      <c:layout>
        <c:manualLayout>
          <c:layoutTarget val="inner"/>
          <c:xMode val="edge"/>
          <c:yMode val="edge"/>
          <c:x val="9.8916284496086568E-2"/>
          <c:y val="0.17349020655378763"/>
          <c:w val="0.87589083249336486"/>
          <c:h val="0.69260255343949451"/>
        </c:manualLayout>
      </c:layout>
      <c:barChart>
        <c:barDir val="col"/>
        <c:grouping val="clustered"/>
        <c:varyColors val="0"/>
        <c:ser>
          <c:idx val="0"/>
          <c:order val="0"/>
          <c:tx>
            <c:v>Védőnőre jutó gyerekek száma</c:v>
          </c:tx>
          <c:invertIfNegative val="0"/>
          <c:cat>
            <c:numRef>
              <c:f>'4. Gyermekek'!$AC$4:$AC$9</c:f>
              <c:numCache>
                <c:formatCode>General</c:formatCode>
                <c:ptCount val="6"/>
                <c:pt idx="0">
                  <c:v>2015</c:v>
                </c:pt>
                <c:pt idx="1">
                  <c:v>2016</c:v>
                </c:pt>
                <c:pt idx="2">
                  <c:v>2017</c:v>
                </c:pt>
                <c:pt idx="3">
                  <c:v>2018</c:v>
                </c:pt>
                <c:pt idx="4">
                  <c:v>2019</c:v>
                </c:pt>
                <c:pt idx="5">
                  <c:v>2020</c:v>
                </c:pt>
              </c:numCache>
            </c:numRef>
          </c:cat>
          <c:val>
            <c:numRef>
              <c:f>'4. Gyermekek'!$AF$4:$AF$9</c:f>
              <c:numCache>
                <c:formatCode>0</c:formatCode>
                <c:ptCount val="6"/>
                <c:pt idx="0">
                  <c:v>75.5</c:v>
                </c:pt>
                <c:pt idx="1">
                  <c:v>83.5</c:v>
                </c:pt>
                <c:pt idx="2">
                  <c:v>97</c:v>
                </c:pt>
                <c:pt idx="3">
                  <c:v>90.5</c:v>
                </c:pt>
                <c:pt idx="4" formatCode="#,000">
                  <c:v>90.5</c:v>
                </c:pt>
                <c:pt idx="5" formatCode="#,000">
                  <c:v>85.5</c:v>
                </c:pt>
              </c:numCache>
            </c:numRef>
          </c:val>
          <c:extLst>
            <c:ext xmlns:c16="http://schemas.microsoft.com/office/drawing/2014/chart" uri="{C3380CC4-5D6E-409C-BE32-E72D297353CC}">
              <c16:uniqueId val="{00000000-B634-4BC2-9391-E1F425B0594F}"/>
            </c:ext>
          </c:extLst>
        </c:ser>
        <c:dLbls>
          <c:showLegendKey val="0"/>
          <c:showVal val="0"/>
          <c:showCatName val="0"/>
          <c:showSerName val="0"/>
          <c:showPercent val="0"/>
          <c:showBubbleSize val="0"/>
        </c:dLbls>
        <c:gapWidth val="150"/>
        <c:axId val="302041280"/>
        <c:axId val="1"/>
      </c:barChart>
      <c:catAx>
        <c:axId val="302041280"/>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crossAx val="302041280"/>
        <c:crosses val="autoZero"/>
        <c:crossBetween val="between"/>
      </c:valAx>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27" b="1" i="0" u="none" strike="noStrike" kern="1200" spc="0" baseline="0">
                <a:solidFill>
                  <a:schemeClr val="tx1"/>
                </a:solidFill>
                <a:latin typeface="+mn-lt"/>
                <a:ea typeface="+mn-ea"/>
                <a:cs typeface="+mn-cs"/>
              </a:defRPr>
            </a:pPr>
            <a:r>
              <a:rPr lang="hu-HU" sz="1127" b="1">
                <a:solidFill>
                  <a:schemeClr val="tx1"/>
                </a:solidFill>
              </a:rPr>
              <a:t>Orvosi ellátások</a:t>
            </a:r>
          </a:p>
        </c:rich>
      </c:tx>
      <c:layout/>
      <c:overlay val="0"/>
      <c:spPr>
        <a:noFill/>
        <a:ln w="23867">
          <a:noFill/>
        </a:ln>
      </c:spPr>
    </c:title>
    <c:autoTitleDeleted val="0"/>
    <c:plotArea>
      <c:layout/>
      <c:barChart>
        <c:barDir val="bar"/>
        <c:grouping val="clustered"/>
        <c:varyColors val="0"/>
        <c:ser>
          <c:idx val="1"/>
          <c:order val="0"/>
          <c:tx>
            <c:strRef>
              <c:f>'4. Gyermekek'!$AI$2</c:f>
              <c:strCache>
                <c:ptCount val="1"/>
                <c:pt idx="0">
                  <c:v>Felnőttek és gyermekek részére szervezett háziorvosi szolgálatok száma
(TS 107)</c:v>
                </c:pt>
              </c:strCache>
            </c:strRef>
          </c:tx>
          <c:spPr>
            <a:solidFill>
              <a:srgbClr val="ED7D31"/>
            </a:solidFill>
            <a:ln w="23867">
              <a:noFill/>
            </a:ln>
          </c:spPr>
          <c:invertIfNegative val="0"/>
          <c:cat>
            <c:numRef>
              <c:f>'4. Gyermekek'!$AH$4:$AH$9</c:f>
              <c:numCache>
                <c:formatCode>General</c:formatCode>
                <c:ptCount val="6"/>
                <c:pt idx="0">
                  <c:v>2015</c:v>
                </c:pt>
                <c:pt idx="1">
                  <c:v>2016</c:v>
                </c:pt>
                <c:pt idx="2">
                  <c:v>2017</c:v>
                </c:pt>
                <c:pt idx="3">
                  <c:v>2018</c:v>
                </c:pt>
                <c:pt idx="4">
                  <c:v>2019</c:v>
                </c:pt>
                <c:pt idx="5">
                  <c:v>2020</c:v>
                </c:pt>
              </c:numCache>
            </c:numRef>
          </c:cat>
          <c:val>
            <c:numRef>
              <c:f>'4. Gyermekek'!$AI$4:$AI$9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8FE5-4A7B-A4C0-629E88059D67}"/>
            </c:ext>
          </c:extLst>
        </c:ser>
        <c:ser>
          <c:idx val="2"/>
          <c:order val="1"/>
          <c:tx>
            <c:strRef>
              <c:f>'4. Gyermekek'!$AJ$2</c:f>
              <c:strCache>
                <c:ptCount val="1"/>
                <c:pt idx="0">
                  <c:v>Csak felnőttek részére szervezett háziorvosi szolgáltatások száma
(TS 106)</c:v>
                </c:pt>
              </c:strCache>
            </c:strRef>
          </c:tx>
          <c:spPr>
            <a:solidFill>
              <a:srgbClr val="A5A5A5"/>
            </a:solidFill>
            <a:ln w="23867">
              <a:noFill/>
            </a:ln>
          </c:spPr>
          <c:invertIfNegative val="0"/>
          <c:cat>
            <c:numRef>
              <c:f>'4. Gyermekek'!$AH$4:$AH$9</c:f>
              <c:numCache>
                <c:formatCode>General</c:formatCode>
                <c:ptCount val="6"/>
                <c:pt idx="0">
                  <c:v>2015</c:v>
                </c:pt>
                <c:pt idx="1">
                  <c:v>2016</c:v>
                </c:pt>
                <c:pt idx="2">
                  <c:v>2017</c:v>
                </c:pt>
                <c:pt idx="3">
                  <c:v>2018</c:v>
                </c:pt>
                <c:pt idx="4">
                  <c:v>2019</c:v>
                </c:pt>
                <c:pt idx="5">
                  <c:v>2020</c:v>
                </c:pt>
              </c:numCache>
            </c:numRef>
          </c:cat>
          <c:val>
            <c:numRef>
              <c:f>'4. Gyermekek'!$AJ$4:$AJ$9</c:f>
              <c:numCache>
                <c:formatCode>0</c:formatCode>
                <c:ptCount val="6"/>
                <c:pt idx="0">
                  <c:v>3</c:v>
                </c:pt>
                <c:pt idx="1">
                  <c:v>3</c:v>
                </c:pt>
                <c:pt idx="2">
                  <c:v>3</c:v>
                </c:pt>
                <c:pt idx="3">
                  <c:v>3</c:v>
                </c:pt>
                <c:pt idx="4">
                  <c:v>3</c:v>
                </c:pt>
                <c:pt idx="5">
                  <c:v>3</c:v>
                </c:pt>
              </c:numCache>
            </c:numRef>
          </c:val>
          <c:extLst>
            <c:ext xmlns:c16="http://schemas.microsoft.com/office/drawing/2014/chart" uri="{C3380CC4-5D6E-409C-BE32-E72D297353CC}">
              <c16:uniqueId val="{00000001-8FE5-4A7B-A4C0-629E88059D67}"/>
            </c:ext>
          </c:extLst>
        </c:ser>
        <c:ser>
          <c:idx val="3"/>
          <c:order val="2"/>
          <c:tx>
            <c:strRef>
              <c:f>'4. Gyermekek'!$AK$2</c:f>
              <c:strCache>
                <c:ptCount val="1"/>
                <c:pt idx="0">
                  <c:v>A házi gyermekorvosok által ellátott szolgálatok száma
(TS 108)</c:v>
                </c:pt>
              </c:strCache>
            </c:strRef>
          </c:tx>
          <c:spPr>
            <a:solidFill>
              <a:srgbClr val="FFC000"/>
            </a:solidFill>
            <a:ln w="23867">
              <a:noFill/>
            </a:ln>
          </c:spPr>
          <c:invertIfNegative val="0"/>
          <c:cat>
            <c:numRef>
              <c:f>'4. Gyermekek'!$AH$4:$AH$9</c:f>
              <c:numCache>
                <c:formatCode>General</c:formatCode>
                <c:ptCount val="6"/>
                <c:pt idx="0">
                  <c:v>2015</c:v>
                </c:pt>
                <c:pt idx="1">
                  <c:v>2016</c:v>
                </c:pt>
                <c:pt idx="2">
                  <c:v>2017</c:v>
                </c:pt>
                <c:pt idx="3">
                  <c:v>2018</c:v>
                </c:pt>
                <c:pt idx="4">
                  <c:v>2019</c:v>
                </c:pt>
                <c:pt idx="5">
                  <c:v>2020</c:v>
                </c:pt>
              </c:numCache>
            </c:numRef>
          </c:cat>
          <c:val>
            <c:numRef>
              <c:f>'4. Gyermekek'!$AK$4:$AK$9</c:f>
              <c:numCache>
                <c:formatCode>0</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2-8FE5-4A7B-A4C0-629E88059D67}"/>
            </c:ext>
          </c:extLst>
        </c:ser>
        <c:ser>
          <c:idx val="4"/>
          <c:order val="3"/>
          <c:tx>
            <c:strRef>
              <c:f>'4. Gyermekek'!$AL$2</c:f>
              <c:strCache>
                <c:ptCount val="1"/>
                <c:pt idx="0">
                  <c:v>Gyermekorvos által ellátott gyerekek száma </c:v>
                </c:pt>
              </c:strCache>
            </c:strRef>
          </c:tx>
          <c:spPr>
            <a:solidFill>
              <a:srgbClr val="5B9BD5"/>
            </a:solidFill>
            <a:ln w="23867">
              <a:noFill/>
            </a:ln>
          </c:spPr>
          <c:invertIfNegative val="0"/>
          <c:cat>
            <c:numRef>
              <c:f>'4. Gyermekek'!$AH$4:$AH$9</c:f>
              <c:numCache>
                <c:formatCode>General</c:formatCode>
                <c:ptCount val="6"/>
                <c:pt idx="0">
                  <c:v>2015</c:v>
                </c:pt>
                <c:pt idx="1">
                  <c:v>2016</c:v>
                </c:pt>
                <c:pt idx="2">
                  <c:v>2017</c:v>
                </c:pt>
                <c:pt idx="3">
                  <c:v>2018</c:v>
                </c:pt>
                <c:pt idx="4">
                  <c:v>2019</c:v>
                </c:pt>
                <c:pt idx="5">
                  <c:v>2020</c:v>
                </c:pt>
              </c:numCache>
            </c:numRef>
          </c:cat>
          <c:val>
            <c:numRef>
              <c:f>'4. Gyermekek'!$AL$4:$AL$9</c:f>
              <c:numCache>
                <c:formatCode>#\ ##0</c:formatCode>
                <c:ptCount val="6"/>
                <c:pt idx="0">
                  <c:v>5494</c:v>
                </c:pt>
                <c:pt idx="1">
                  <c:v>5260</c:v>
                </c:pt>
                <c:pt idx="2">
                  <c:v>5375</c:v>
                </c:pt>
                <c:pt idx="3">
                  <c:v>5335</c:v>
                </c:pt>
                <c:pt idx="4">
                  <c:v>5174</c:v>
                </c:pt>
                <c:pt idx="5">
                  <c:v>4122</c:v>
                </c:pt>
              </c:numCache>
            </c:numRef>
          </c:val>
          <c:extLst>
            <c:ext xmlns:c16="http://schemas.microsoft.com/office/drawing/2014/chart" uri="{C3380CC4-5D6E-409C-BE32-E72D297353CC}">
              <c16:uniqueId val="{00000003-8FE5-4A7B-A4C0-629E88059D67}"/>
            </c:ext>
          </c:extLst>
        </c:ser>
        <c:ser>
          <c:idx val="5"/>
          <c:order val="4"/>
          <c:tx>
            <c:strRef>
              <c:f>'4. Gyermekek'!$AM$2</c:f>
              <c:strCache>
                <c:ptCount val="1"/>
                <c:pt idx="0">
                  <c:v>Felnőtt házi orvos által ellátott gyerekek száma </c:v>
                </c:pt>
              </c:strCache>
            </c:strRef>
          </c:tx>
          <c:spPr>
            <a:solidFill>
              <a:srgbClr val="70AD47"/>
            </a:solidFill>
            <a:ln w="23867">
              <a:noFill/>
            </a:ln>
          </c:spPr>
          <c:invertIfNegative val="0"/>
          <c:cat>
            <c:numRef>
              <c:f>'4. Gyermekek'!$AH$4:$AH$9</c:f>
              <c:numCache>
                <c:formatCode>General</c:formatCode>
                <c:ptCount val="6"/>
                <c:pt idx="0">
                  <c:v>2015</c:v>
                </c:pt>
                <c:pt idx="1">
                  <c:v>2016</c:v>
                </c:pt>
                <c:pt idx="2">
                  <c:v>2017</c:v>
                </c:pt>
                <c:pt idx="3">
                  <c:v>2018</c:v>
                </c:pt>
                <c:pt idx="4">
                  <c:v>2019</c:v>
                </c:pt>
                <c:pt idx="5">
                  <c:v>2020</c:v>
                </c:pt>
              </c:numCache>
            </c:numRef>
          </c:cat>
          <c:val>
            <c:numRef>
              <c:f>'4. Gyermekek'!$AM$4:$AM$9</c:f>
              <c:numCache>
                <c:formatCode>#\ ##0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8FE5-4A7B-A4C0-629E88059D67}"/>
            </c:ext>
          </c:extLst>
        </c:ser>
        <c:dLbls>
          <c:showLegendKey val="0"/>
          <c:showVal val="0"/>
          <c:showCatName val="0"/>
          <c:showSerName val="0"/>
          <c:showPercent val="0"/>
          <c:showBubbleSize val="0"/>
        </c:dLbls>
        <c:gapWidth val="150"/>
        <c:axId val="300313184"/>
        <c:axId val="1"/>
      </c:barChart>
      <c:catAx>
        <c:axId val="300313184"/>
        <c:scaling>
          <c:orientation val="minMax"/>
        </c:scaling>
        <c:delete val="0"/>
        <c:axPos val="l"/>
        <c:numFmt formatCode="General" sourceLinked="1"/>
        <c:majorTickMark val="none"/>
        <c:minorTickMark val="none"/>
        <c:tickLblPos val="nextTo"/>
        <c:spPr>
          <a:noFill/>
          <a:ln w="8941" cap="flat" cmpd="sng" algn="ctr">
            <a:solidFill>
              <a:schemeClr val="tx1">
                <a:lumMod val="15000"/>
                <a:lumOff val="8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b"/>
        <c:majorGridlines>
          <c:spPr>
            <a:ln w="8941" cap="flat" cmpd="sng" algn="ctr">
              <a:solidFill>
                <a:schemeClr val="tx1">
                  <a:lumMod val="15000"/>
                  <a:lumOff val="85000"/>
                </a:schemeClr>
              </a:solidFill>
              <a:round/>
            </a:ln>
            <a:effectLst/>
          </c:spPr>
        </c:majorGridlines>
        <c:numFmt formatCode="0" sourceLinked="1"/>
        <c:majorTickMark val="none"/>
        <c:minorTickMark val="none"/>
        <c:tickLblPos val="nextTo"/>
        <c:spPr>
          <a:ln w="5967">
            <a:noFill/>
          </a:ln>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hu-HU"/>
          </a:p>
        </c:txPr>
        <c:crossAx val="300313184"/>
        <c:crosses val="autoZero"/>
        <c:crossBetween val="between"/>
      </c:valAx>
      <c:spPr>
        <a:noFill/>
        <a:ln w="23867">
          <a:noFill/>
        </a:ln>
      </c:spPr>
    </c:plotArea>
    <c:legend>
      <c:legendPos val="b"/>
      <c:layout/>
      <c:overlay val="0"/>
      <c:spPr>
        <a:noFill/>
        <a:ln w="23867">
          <a:noFill/>
        </a:ln>
      </c:spPr>
      <c:txPr>
        <a:bodyPr rot="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8941"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Bölcsődei férőhelyek kihasználtsága</a:t>
            </a:r>
          </a:p>
        </c:rich>
      </c:tx>
      <c:layout/>
      <c:overlay val="0"/>
      <c:spPr>
        <a:noFill/>
        <a:ln w="25407">
          <a:noFill/>
        </a:ln>
      </c:spPr>
    </c:title>
    <c:autoTitleDeleted val="0"/>
    <c:plotArea>
      <c:layout>
        <c:manualLayout>
          <c:layoutTarget val="inner"/>
          <c:xMode val="edge"/>
          <c:yMode val="edge"/>
          <c:x val="4.9481281076361898E-2"/>
          <c:y val="0.11760000897924193"/>
          <c:w val="0.92781059375489172"/>
          <c:h val="0.47958274165501857"/>
        </c:manualLayout>
      </c:layout>
      <c:barChart>
        <c:barDir val="col"/>
        <c:grouping val="clustered"/>
        <c:varyColors val="0"/>
        <c:ser>
          <c:idx val="0"/>
          <c:order val="0"/>
          <c:tx>
            <c:strRef>
              <c:f>'4. Gyermekek'!$AZ$2</c:f>
              <c:strCache>
                <c:ptCount val="1"/>
                <c:pt idx="0">
                  <c:v>Működő (összes) bölcsődei férőhelyek száma (TS 124)</c:v>
                </c:pt>
              </c:strCache>
            </c:strRef>
          </c:tx>
          <c:spPr>
            <a:solidFill>
              <a:srgbClr val="4472C4"/>
            </a:solidFill>
            <a:ln w="25407">
              <a:noFill/>
            </a:ln>
          </c:spPr>
          <c:invertIfNegative val="0"/>
          <c:cat>
            <c:numRef>
              <c:f>'4. Gyermekek'!$AO$4:$AO$9</c:f>
              <c:numCache>
                <c:formatCode>General</c:formatCode>
                <c:ptCount val="6"/>
                <c:pt idx="0">
                  <c:v>2015</c:v>
                </c:pt>
                <c:pt idx="1">
                  <c:v>2016</c:v>
                </c:pt>
                <c:pt idx="2">
                  <c:v>2017</c:v>
                </c:pt>
                <c:pt idx="3">
                  <c:v>2018</c:v>
                </c:pt>
                <c:pt idx="4">
                  <c:v>2019</c:v>
                </c:pt>
                <c:pt idx="5">
                  <c:v>2020</c:v>
                </c:pt>
              </c:numCache>
            </c:numRef>
          </c:cat>
          <c:val>
            <c:numRef>
              <c:f>'4. Gyermekek'!$AZ$4:$AZ$9</c:f>
              <c:numCache>
                <c:formatCode>0</c:formatCode>
                <c:ptCount val="6"/>
                <c:pt idx="0">
                  <c:v>20</c:v>
                </c:pt>
                <c:pt idx="1">
                  <c:v>20</c:v>
                </c:pt>
                <c:pt idx="2">
                  <c:v>20</c:v>
                </c:pt>
                <c:pt idx="3">
                  <c:v>20</c:v>
                </c:pt>
                <c:pt idx="4">
                  <c:v>24</c:v>
                </c:pt>
                <c:pt idx="5">
                  <c:v>24</c:v>
                </c:pt>
              </c:numCache>
            </c:numRef>
          </c:val>
          <c:extLst>
            <c:ext xmlns:c16="http://schemas.microsoft.com/office/drawing/2014/chart" uri="{C3380CC4-5D6E-409C-BE32-E72D297353CC}">
              <c16:uniqueId val="{00000000-341E-4E93-95EB-DCA156433A88}"/>
            </c:ext>
          </c:extLst>
        </c:ser>
        <c:ser>
          <c:idx val="1"/>
          <c:order val="1"/>
          <c:tx>
            <c:strRef>
              <c:f>'4. Gyermekek'!$BA$2</c:f>
              <c:strCache>
                <c:ptCount val="1"/>
                <c:pt idx="0">
                  <c:v>Bölcsődébe (összes) beírt gyermekek száma
(TS 120)</c:v>
                </c:pt>
              </c:strCache>
            </c:strRef>
          </c:tx>
          <c:spPr>
            <a:solidFill>
              <a:srgbClr val="ED7D31"/>
            </a:solidFill>
            <a:ln w="25407">
              <a:noFill/>
            </a:ln>
          </c:spPr>
          <c:invertIfNegative val="0"/>
          <c:cat>
            <c:numRef>
              <c:f>'4. Gyermekek'!$AO$4:$AO$9</c:f>
              <c:numCache>
                <c:formatCode>General</c:formatCode>
                <c:ptCount val="6"/>
                <c:pt idx="0">
                  <c:v>2015</c:v>
                </c:pt>
                <c:pt idx="1">
                  <c:v>2016</c:v>
                </c:pt>
                <c:pt idx="2">
                  <c:v>2017</c:v>
                </c:pt>
                <c:pt idx="3">
                  <c:v>2018</c:v>
                </c:pt>
                <c:pt idx="4">
                  <c:v>2019</c:v>
                </c:pt>
                <c:pt idx="5">
                  <c:v>2020</c:v>
                </c:pt>
              </c:numCache>
            </c:numRef>
          </c:cat>
          <c:val>
            <c:numRef>
              <c:f>'4. Gyermekek'!$BA$4:$BA$9</c:f>
              <c:numCache>
                <c:formatCode>0</c:formatCode>
                <c:ptCount val="6"/>
                <c:pt idx="0">
                  <c:v>0</c:v>
                </c:pt>
                <c:pt idx="1">
                  <c:v>0</c:v>
                </c:pt>
                <c:pt idx="2">
                  <c:v>20</c:v>
                </c:pt>
                <c:pt idx="3">
                  <c:v>20</c:v>
                </c:pt>
                <c:pt idx="4">
                  <c:v>22</c:v>
                </c:pt>
                <c:pt idx="5">
                  <c:v>22</c:v>
                </c:pt>
              </c:numCache>
            </c:numRef>
          </c:val>
          <c:extLst>
            <c:ext xmlns:c16="http://schemas.microsoft.com/office/drawing/2014/chart" uri="{C3380CC4-5D6E-409C-BE32-E72D297353CC}">
              <c16:uniqueId val="{00000001-341E-4E93-95EB-DCA156433A88}"/>
            </c:ext>
          </c:extLst>
        </c:ser>
        <c:dLbls>
          <c:showLegendKey val="0"/>
          <c:showVal val="0"/>
          <c:showCatName val="0"/>
          <c:showSerName val="0"/>
          <c:showPercent val="0"/>
          <c:showBubbleSize val="0"/>
        </c:dLbls>
        <c:gapWidth val="219"/>
        <c:overlap val="-27"/>
        <c:axId val="332014608"/>
        <c:axId val="1"/>
      </c:barChart>
      <c:catAx>
        <c:axId val="332014608"/>
        <c:scaling>
          <c:orientation val="minMax"/>
        </c:scaling>
        <c:delete val="0"/>
        <c:axPos val="b"/>
        <c:numFmt formatCode="General" sourceLinked="1"/>
        <c:majorTickMark val="none"/>
        <c:minorTickMark val="none"/>
        <c:tickLblPos val="nextTo"/>
        <c:spPr>
          <a:noFill/>
          <a:ln w="952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9529" cap="flat" cmpd="sng" algn="ctr">
              <a:solidFill>
                <a:schemeClr val="tx1">
                  <a:lumMod val="15000"/>
                  <a:lumOff val="85000"/>
                </a:schemeClr>
              </a:solidFill>
              <a:round/>
            </a:ln>
            <a:effectLst/>
          </c:spPr>
        </c:majorGridlines>
        <c:numFmt formatCode="0" sourceLinked="1"/>
        <c:majorTickMark val="none"/>
        <c:minorTickMark val="none"/>
        <c:tickLblPos val="nextTo"/>
        <c:spPr>
          <a:ln w="6352">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32014608"/>
        <c:crosses val="autoZero"/>
        <c:crossBetween val="between"/>
      </c:valAx>
      <c:spPr>
        <a:noFill/>
        <a:ln w="25407">
          <a:noFill/>
        </a:ln>
      </c:spPr>
    </c:plotArea>
    <c:legend>
      <c:legendPos val="b"/>
      <c:layout>
        <c:manualLayout>
          <c:xMode val="edge"/>
          <c:yMode val="edge"/>
          <c:x val="0.20289310427105703"/>
          <c:y val="0.64419729289035177"/>
          <c:w val="0.61203173466952998"/>
          <c:h val="0.23337612821492004"/>
        </c:manualLayout>
      </c:layout>
      <c:overlay val="0"/>
      <c:spPr>
        <a:noFill/>
        <a:ln w="25407">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Hátrányos és halmozottan hátrányos helyzetű óvodás gyermekek 
aránya az óvodás gyermekeken belül</a:t>
            </a:r>
          </a:p>
        </c:rich>
      </c:tx>
      <c:layout/>
      <c:overlay val="0"/>
      <c:spPr>
        <a:noFill/>
        <a:ln w="25416">
          <a:noFill/>
        </a:ln>
      </c:spPr>
    </c:title>
    <c:autoTitleDeleted val="0"/>
    <c:plotArea>
      <c:layout/>
      <c:barChart>
        <c:barDir val="bar"/>
        <c:grouping val="clustered"/>
        <c:varyColors val="0"/>
        <c:ser>
          <c:idx val="0"/>
          <c:order val="0"/>
          <c:tx>
            <c:strRef>
              <c:f>'4. Gyermekek'!$BF$2</c:f>
              <c:strCache>
                <c:ptCount val="1"/>
                <c:pt idx="0">
                  <c:v>Hátrányos és halmozottan hátrányos helyzetű óvodás gyermekek 
aránya az óvodás gyermekeken belül (TS 093)</c:v>
                </c:pt>
              </c:strCache>
            </c:strRef>
          </c:tx>
          <c:spPr>
            <a:solidFill>
              <a:srgbClr val="4472C4"/>
            </a:solidFill>
            <a:ln w="25416">
              <a:noFill/>
            </a:ln>
          </c:spPr>
          <c:invertIfNegative val="0"/>
          <c:cat>
            <c:numRef>
              <c:f>'4. Gyermekek'!$BC$4:$BC$9</c:f>
              <c:numCache>
                <c:formatCode>General</c:formatCode>
                <c:ptCount val="6"/>
                <c:pt idx="0">
                  <c:v>2015</c:v>
                </c:pt>
                <c:pt idx="1">
                  <c:v>2016</c:v>
                </c:pt>
                <c:pt idx="2">
                  <c:v>2017</c:v>
                </c:pt>
                <c:pt idx="3">
                  <c:v>2018</c:v>
                </c:pt>
                <c:pt idx="4">
                  <c:v>2019</c:v>
                </c:pt>
                <c:pt idx="5">
                  <c:v>2020</c:v>
                </c:pt>
              </c:numCache>
            </c:numRef>
          </c:cat>
          <c:val>
            <c:numRef>
              <c:f>'4. Gyermekek'!$BF$4:$BF$9</c:f>
              <c:numCache>
                <c:formatCode>#,000%</c:formatCode>
                <c:ptCount val="6"/>
                <c:pt idx="0">
                  <c:v>0.1</c:v>
                </c:pt>
                <c:pt idx="1">
                  <c:v>0.112</c:v>
                </c:pt>
                <c:pt idx="2">
                  <c:v>0.11509999999999999</c:v>
                </c:pt>
                <c:pt idx="3">
                  <c:v>0.1232</c:v>
                </c:pt>
                <c:pt idx="4">
                  <c:v>2.1700000000000001E-2</c:v>
                </c:pt>
                <c:pt idx="5">
                  <c:v>0</c:v>
                </c:pt>
              </c:numCache>
            </c:numRef>
          </c:val>
          <c:extLst>
            <c:ext xmlns:c16="http://schemas.microsoft.com/office/drawing/2014/chart" uri="{C3380CC4-5D6E-409C-BE32-E72D297353CC}">
              <c16:uniqueId val="{00000000-9C9F-4941-824C-BB57C85E03AE}"/>
            </c:ext>
          </c:extLst>
        </c:ser>
        <c:dLbls>
          <c:showLegendKey val="0"/>
          <c:showVal val="0"/>
          <c:showCatName val="0"/>
          <c:showSerName val="0"/>
          <c:showPercent val="0"/>
          <c:showBubbleSize val="0"/>
        </c:dLbls>
        <c:gapWidth val="219"/>
        <c:axId val="324579584"/>
        <c:axId val="1"/>
      </c:barChart>
      <c:catAx>
        <c:axId val="324579584"/>
        <c:scaling>
          <c:orientation val="minMax"/>
        </c:scaling>
        <c:delete val="0"/>
        <c:axPos val="l"/>
        <c:numFmt formatCode="General" sourceLinked="1"/>
        <c:majorTickMark val="none"/>
        <c:minorTickMark val="none"/>
        <c:tickLblPos val="nextTo"/>
        <c:spPr>
          <a:noFill/>
          <a:ln w="9527"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max val="1"/>
        </c:scaling>
        <c:delete val="0"/>
        <c:axPos val="b"/>
        <c:majorGridlines>
          <c:spPr>
            <a:ln w="9527" cap="flat" cmpd="sng" algn="ctr">
              <a:solidFill>
                <a:schemeClr val="tx1">
                  <a:lumMod val="15000"/>
                  <a:lumOff val="85000"/>
                </a:schemeClr>
              </a:solidFill>
              <a:round/>
            </a:ln>
            <a:effectLst/>
          </c:spPr>
        </c:majorGridlines>
        <c:numFmt formatCode="#,000%" sourceLinked="1"/>
        <c:majorTickMark val="none"/>
        <c:minorTickMark val="none"/>
        <c:tickLblPos val="nextTo"/>
        <c:spPr>
          <a:ln w="6354">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hu-HU"/>
          </a:p>
        </c:txPr>
        <c:crossAx val="324579584"/>
        <c:crosses val="autoZero"/>
        <c:crossBetween val="between"/>
      </c:valAx>
      <c:spPr>
        <a:noFill/>
        <a:ln w="25416">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97" b="1" i="0" u="none" strike="noStrike" kern="1200" spc="0" baseline="0">
                <a:solidFill>
                  <a:schemeClr val="tx1"/>
                </a:solidFill>
                <a:latin typeface="+mn-lt"/>
                <a:ea typeface="+mn-ea"/>
                <a:cs typeface="+mn-cs"/>
              </a:defRPr>
            </a:pPr>
            <a:r>
              <a:rPr lang="hu-HU"/>
              <a:t>Hátrányos és halmozottan hátrányos helyzetű  tanulók aránya az általános iskolai tanulókon belül </a:t>
            </a:r>
          </a:p>
        </c:rich>
      </c:tx>
      <c:layout/>
      <c:overlay val="0"/>
      <c:spPr>
        <a:noFill/>
        <a:ln w="21107">
          <a:noFill/>
        </a:ln>
      </c:spPr>
    </c:title>
    <c:autoTitleDeleted val="0"/>
    <c:plotArea>
      <c:layout/>
      <c:barChart>
        <c:barDir val="bar"/>
        <c:grouping val="clustered"/>
        <c:varyColors val="0"/>
        <c:ser>
          <c:idx val="0"/>
          <c:order val="0"/>
          <c:tx>
            <c:strRef>
              <c:f>'4. Gyermekek'!$BK$2</c:f>
              <c:strCache>
                <c:ptCount val="1"/>
                <c:pt idx="0">
                  <c:v>Hátrányos és halmozottan hátrányos helyzetű  tanulók aránya az általános iskolai tanulókon belül (TS 095)</c:v>
                </c:pt>
              </c:strCache>
            </c:strRef>
          </c:tx>
          <c:spPr>
            <a:solidFill>
              <a:srgbClr val="FFC000"/>
            </a:solidFill>
            <a:ln w="21107">
              <a:noFill/>
            </a:ln>
          </c:spPr>
          <c:invertIfNegative val="0"/>
          <c:cat>
            <c:numRef>
              <c:f>'4. Gyermekek'!$BH$4:$BH$9</c:f>
              <c:numCache>
                <c:formatCode>General</c:formatCode>
                <c:ptCount val="6"/>
                <c:pt idx="0">
                  <c:v>2015</c:v>
                </c:pt>
                <c:pt idx="1">
                  <c:v>2016</c:v>
                </c:pt>
                <c:pt idx="2">
                  <c:v>2017</c:v>
                </c:pt>
                <c:pt idx="3">
                  <c:v>2018</c:v>
                </c:pt>
                <c:pt idx="4">
                  <c:v>2019</c:v>
                </c:pt>
                <c:pt idx="5">
                  <c:v>2020</c:v>
                </c:pt>
              </c:numCache>
            </c:numRef>
          </c:cat>
          <c:val>
            <c:numRef>
              <c:f>'4. Gyermekek'!$BK$4:$BK$9</c:f>
              <c:numCache>
                <c:formatCode>#,000%</c:formatCode>
                <c:ptCount val="6"/>
                <c:pt idx="0">
                  <c:v>0</c:v>
                </c:pt>
                <c:pt idx="1">
                  <c:v>0.1196</c:v>
                </c:pt>
                <c:pt idx="2">
                  <c:v>0.125</c:v>
                </c:pt>
                <c:pt idx="3">
                  <c:v>9.6000000000000002E-2</c:v>
                </c:pt>
                <c:pt idx="4">
                  <c:v>3.5200000000000002E-2</c:v>
                </c:pt>
                <c:pt idx="5">
                  <c:v>0</c:v>
                </c:pt>
              </c:numCache>
            </c:numRef>
          </c:val>
          <c:extLst>
            <c:ext xmlns:c16="http://schemas.microsoft.com/office/drawing/2014/chart" uri="{C3380CC4-5D6E-409C-BE32-E72D297353CC}">
              <c16:uniqueId val="{00000000-E085-4F17-9B17-317094640D8F}"/>
            </c:ext>
          </c:extLst>
        </c:ser>
        <c:dLbls>
          <c:showLegendKey val="0"/>
          <c:showVal val="0"/>
          <c:showCatName val="0"/>
          <c:showSerName val="0"/>
          <c:showPercent val="0"/>
          <c:showBubbleSize val="0"/>
        </c:dLbls>
        <c:gapWidth val="219"/>
        <c:axId val="248158256"/>
        <c:axId val="1"/>
      </c:barChart>
      <c:catAx>
        <c:axId val="248158256"/>
        <c:scaling>
          <c:orientation val="minMax"/>
        </c:scaling>
        <c:delete val="0"/>
        <c:axPos val="l"/>
        <c:numFmt formatCode="General" sourceLinked="1"/>
        <c:majorTickMark val="none"/>
        <c:minorTickMark val="none"/>
        <c:tickLblPos val="nextTo"/>
        <c:spPr>
          <a:noFill/>
          <a:ln w="7914" cap="flat" cmpd="sng" algn="ctr">
            <a:solidFill>
              <a:schemeClr val="tx1">
                <a:lumMod val="15000"/>
                <a:lumOff val="85000"/>
              </a:schemeClr>
            </a:solidFill>
            <a:round/>
          </a:ln>
          <a:effectLst/>
        </c:spPr>
        <c:txPr>
          <a:bodyPr rot="-60000000" spcFirstLastPara="1" vertOverflow="ellipsis" vert="horz" wrap="square" anchor="ctr" anchorCtr="1"/>
          <a:lstStyle/>
          <a:p>
            <a:pPr>
              <a:defRPr sz="748"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max val="1"/>
        </c:scaling>
        <c:delete val="0"/>
        <c:axPos val="b"/>
        <c:majorGridlines>
          <c:spPr>
            <a:ln w="7914" cap="flat" cmpd="sng" algn="ctr">
              <a:solidFill>
                <a:schemeClr val="tx1">
                  <a:lumMod val="15000"/>
                  <a:lumOff val="85000"/>
                </a:schemeClr>
              </a:solidFill>
              <a:round/>
            </a:ln>
            <a:effectLst/>
          </c:spPr>
        </c:majorGridlines>
        <c:numFmt formatCode="#,000%" sourceLinked="1"/>
        <c:majorTickMark val="none"/>
        <c:minorTickMark val="none"/>
        <c:tickLblPos val="nextTo"/>
        <c:spPr>
          <a:ln w="5277">
            <a:noFill/>
          </a:ln>
        </c:spPr>
        <c:txPr>
          <a:bodyPr rot="-60000000" spcFirstLastPara="1" vertOverflow="ellipsis" vert="horz" wrap="square" anchor="ctr" anchorCtr="1"/>
          <a:lstStyle/>
          <a:p>
            <a:pPr>
              <a:defRPr sz="748" b="0" i="0" u="none" strike="noStrike" kern="1200" baseline="0">
                <a:solidFill>
                  <a:schemeClr val="tx1">
                    <a:lumMod val="65000"/>
                    <a:lumOff val="35000"/>
                  </a:schemeClr>
                </a:solidFill>
                <a:latin typeface="+mn-lt"/>
                <a:ea typeface="+mn-ea"/>
                <a:cs typeface="+mn-cs"/>
              </a:defRPr>
            </a:pPr>
            <a:endParaRPr lang="hu-HU"/>
          </a:p>
        </c:txPr>
        <c:crossAx val="248158256"/>
        <c:crosses val="autoZero"/>
        <c:crossBetween val="between"/>
      </c:valAx>
      <c:spPr>
        <a:noFill/>
        <a:ln w="21107">
          <a:noFill/>
        </a:ln>
      </c:spPr>
    </c:plotArea>
    <c:plotVisOnly val="1"/>
    <c:dispBlanksAs val="gap"/>
    <c:showDLblsOverMax val="0"/>
  </c:chart>
  <c:spPr>
    <a:solidFill>
      <a:schemeClr val="bg1"/>
    </a:solidFill>
    <a:ln w="7914"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48" b="1" i="0" u="none" strike="noStrike" kern="1200" spc="0" baseline="0">
                <a:solidFill>
                  <a:schemeClr val="tx1"/>
                </a:solidFill>
                <a:latin typeface="+mn-lt"/>
                <a:ea typeface="+mn-ea"/>
                <a:cs typeface="+mn-cs"/>
              </a:defRPr>
            </a:pPr>
            <a:r>
              <a:rPr lang="hu-HU" sz="948" b="1">
                <a:solidFill>
                  <a:schemeClr val="tx1"/>
                </a:solidFill>
              </a:rPr>
              <a:t>Hátrányos</a:t>
            </a:r>
            <a:r>
              <a:rPr lang="hu-HU" sz="948" b="1" baseline="0">
                <a:solidFill>
                  <a:schemeClr val="tx1"/>
                </a:solidFill>
              </a:rPr>
              <a:t> és halmozottan hátrányos helyzet</a:t>
            </a:r>
          </a:p>
        </c:rich>
      </c:tx>
      <c:layout/>
      <c:overlay val="0"/>
      <c:spPr>
        <a:noFill/>
        <a:ln w="20074">
          <a:noFill/>
        </a:ln>
      </c:spPr>
    </c:title>
    <c:autoTitleDeleted val="0"/>
    <c:plotArea>
      <c:layout>
        <c:manualLayout>
          <c:layoutTarget val="inner"/>
          <c:xMode val="edge"/>
          <c:yMode val="edge"/>
          <c:x val="6.9138335040926632E-2"/>
          <c:y val="0.10603277593568862"/>
          <c:w val="0.89913245480290938"/>
          <c:h val="0.57510772426924239"/>
        </c:manualLayout>
      </c:layout>
      <c:barChart>
        <c:barDir val="col"/>
        <c:grouping val="clustered"/>
        <c:varyColors val="0"/>
        <c:ser>
          <c:idx val="0"/>
          <c:order val="0"/>
          <c:tx>
            <c:strRef>
              <c:f>'4. Gyermekek'!$BV$2</c:f>
              <c:strCache>
                <c:ptCount val="1"/>
                <c:pt idx="0">
                  <c:v>Megállapított hátrányos helyzetű gyermekek és nagykorúvá vált gyermekek száma (TS 114)</c:v>
                </c:pt>
              </c:strCache>
            </c:strRef>
          </c:tx>
          <c:spPr>
            <a:solidFill>
              <a:srgbClr val="4472C4"/>
            </a:solidFill>
            <a:ln w="20074">
              <a:noFill/>
            </a:ln>
          </c:spPr>
          <c:invertIfNegative val="0"/>
          <c:cat>
            <c:numRef>
              <c:f>'4. Gyermekek'!$BU$4:$BU$9</c:f>
              <c:numCache>
                <c:formatCode>General</c:formatCode>
                <c:ptCount val="6"/>
                <c:pt idx="0">
                  <c:v>2015</c:v>
                </c:pt>
                <c:pt idx="1">
                  <c:v>2016</c:v>
                </c:pt>
                <c:pt idx="2">
                  <c:v>2017</c:v>
                </c:pt>
                <c:pt idx="3">
                  <c:v>2018</c:v>
                </c:pt>
                <c:pt idx="4">
                  <c:v>2019</c:v>
                </c:pt>
                <c:pt idx="5">
                  <c:v>2020</c:v>
                </c:pt>
              </c:numCache>
            </c:numRef>
          </c:cat>
          <c:val>
            <c:numRef>
              <c:f>'4. Gyermekek'!$BV$4:$BV$9</c:f>
              <c:numCache>
                <c:formatCode>0</c:formatCode>
                <c:ptCount val="6"/>
                <c:pt idx="0">
                  <c:v>23</c:v>
                </c:pt>
                <c:pt idx="1">
                  <c:v>35</c:v>
                </c:pt>
                <c:pt idx="2">
                  <c:v>22</c:v>
                </c:pt>
                <c:pt idx="3">
                  <c:v>34</c:v>
                </c:pt>
                <c:pt idx="4">
                  <c:v>19</c:v>
                </c:pt>
                <c:pt idx="5">
                  <c:v>21</c:v>
                </c:pt>
              </c:numCache>
            </c:numRef>
          </c:val>
          <c:extLst>
            <c:ext xmlns:c16="http://schemas.microsoft.com/office/drawing/2014/chart" uri="{C3380CC4-5D6E-409C-BE32-E72D297353CC}">
              <c16:uniqueId val="{00000000-8353-4403-BCD8-4BD86B89E088}"/>
            </c:ext>
          </c:extLst>
        </c:ser>
        <c:ser>
          <c:idx val="1"/>
          <c:order val="1"/>
          <c:tx>
            <c:strRef>
              <c:f>'4. Gyermekek'!$BW$2</c:f>
              <c:strCache>
                <c:ptCount val="1"/>
                <c:pt idx="0">
                  <c:v>Megállapított halmozottan hátrányos helyzetű gyermekek és nagykorúvá vált gyermekek száma
(TS 113)</c:v>
                </c:pt>
              </c:strCache>
            </c:strRef>
          </c:tx>
          <c:spPr>
            <a:solidFill>
              <a:srgbClr val="ED7D31"/>
            </a:solidFill>
            <a:ln w="20074">
              <a:noFill/>
            </a:ln>
          </c:spPr>
          <c:invertIfNegative val="0"/>
          <c:cat>
            <c:numRef>
              <c:f>'4. Gyermekek'!$BU$4:$BU$9</c:f>
              <c:numCache>
                <c:formatCode>General</c:formatCode>
                <c:ptCount val="6"/>
                <c:pt idx="0">
                  <c:v>2015</c:v>
                </c:pt>
                <c:pt idx="1">
                  <c:v>2016</c:v>
                </c:pt>
                <c:pt idx="2">
                  <c:v>2017</c:v>
                </c:pt>
                <c:pt idx="3">
                  <c:v>2018</c:v>
                </c:pt>
                <c:pt idx="4">
                  <c:v>2019</c:v>
                </c:pt>
                <c:pt idx="5">
                  <c:v>2020</c:v>
                </c:pt>
              </c:numCache>
            </c:numRef>
          </c:cat>
          <c:val>
            <c:numRef>
              <c:f>'4. Gyermekek'!$BW$4:$BW$9</c:f>
              <c:numCache>
                <c:formatCode>0</c:formatCode>
                <c:ptCount val="6"/>
                <c:pt idx="0">
                  <c:v>35</c:v>
                </c:pt>
                <c:pt idx="1">
                  <c:v>44</c:v>
                </c:pt>
                <c:pt idx="2">
                  <c:v>46</c:v>
                </c:pt>
                <c:pt idx="3">
                  <c:v>23</c:v>
                </c:pt>
                <c:pt idx="4">
                  <c:v>19</c:v>
                </c:pt>
                <c:pt idx="5">
                  <c:v>11</c:v>
                </c:pt>
              </c:numCache>
            </c:numRef>
          </c:val>
          <c:extLst>
            <c:ext xmlns:c16="http://schemas.microsoft.com/office/drawing/2014/chart" uri="{C3380CC4-5D6E-409C-BE32-E72D297353CC}">
              <c16:uniqueId val="{00000001-8353-4403-BCD8-4BD86B89E088}"/>
            </c:ext>
          </c:extLst>
        </c:ser>
        <c:dLbls>
          <c:showLegendKey val="0"/>
          <c:showVal val="0"/>
          <c:showCatName val="0"/>
          <c:showSerName val="0"/>
          <c:showPercent val="0"/>
          <c:showBubbleSize val="0"/>
        </c:dLbls>
        <c:gapWidth val="219"/>
        <c:overlap val="-27"/>
        <c:axId val="303179920"/>
        <c:axId val="1"/>
      </c:barChart>
      <c:catAx>
        <c:axId val="303179920"/>
        <c:scaling>
          <c:orientation val="minMax"/>
        </c:scaling>
        <c:delete val="0"/>
        <c:axPos val="b"/>
        <c:numFmt formatCode="General" sourceLinked="1"/>
        <c:majorTickMark val="none"/>
        <c:minorTickMark val="none"/>
        <c:tickLblPos val="nextTo"/>
        <c:spPr>
          <a:noFill/>
          <a:ln w="7521" cap="flat" cmpd="sng" algn="ctr">
            <a:solidFill>
              <a:schemeClr val="tx1">
                <a:lumMod val="15000"/>
                <a:lumOff val="85000"/>
              </a:schemeClr>
            </a:solidFill>
            <a:round/>
          </a:ln>
          <a:effectLst/>
        </c:spPr>
        <c:txPr>
          <a:bodyPr rot="-60000000" spcFirstLastPara="1" vertOverflow="ellipsis" vert="horz" wrap="square" anchor="ctr" anchorCtr="1"/>
          <a:lstStyle/>
          <a:p>
            <a:pPr>
              <a:defRPr sz="710"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7521" cap="flat" cmpd="sng" algn="ctr">
              <a:solidFill>
                <a:schemeClr val="tx1">
                  <a:lumMod val="15000"/>
                  <a:lumOff val="85000"/>
                </a:schemeClr>
              </a:solidFill>
              <a:round/>
            </a:ln>
            <a:effectLst/>
          </c:spPr>
        </c:majorGridlines>
        <c:numFmt formatCode="0" sourceLinked="1"/>
        <c:majorTickMark val="none"/>
        <c:minorTickMark val="none"/>
        <c:tickLblPos val="nextTo"/>
        <c:spPr>
          <a:ln w="5019">
            <a:noFill/>
          </a:ln>
        </c:spPr>
        <c:txPr>
          <a:bodyPr rot="-60000000" spcFirstLastPara="1" vertOverflow="ellipsis" vert="horz" wrap="square" anchor="ctr" anchorCtr="1"/>
          <a:lstStyle/>
          <a:p>
            <a:pPr>
              <a:defRPr sz="710" b="0" i="0" u="none" strike="noStrike" kern="1200" baseline="0">
                <a:solidFill>
                  <a:schemeClr val="tx1">
                    <a:lumMod val="65000"/>
                    <a:lumOff val="35000"/>
                  </a:schemeClr>
                </a:solidFill>
                <a:latin typeface="+mn-lt"/>
                <a:ea typeface="+mn-ea"/>
                <a:cs typeface="+mn-cs"/>
              </a:defRPr>
            </a:pPr>
            <a:endParaRPr lang="hu-HU"/>
          </a:p>
        </c:txPr>
        <c:crossAx val="303179920"/>
        <c:crosses val="autoZero"/>
        <c:crossBetween val="between"/>
      </c:valAx>
      <c:spPr>
        <a:noFill/>
        <a:ln w="20074">
          <a:noFill/>
        </a:ln>
      </c:spPr>
    </c:plotArea>
    <c:legend>
      <c:legendPos val="b"/>
      <c:layout>
        <c:manualLayout>
          <c:xMode val="edge"/>
          <c:yMode val="edge"/>
          <c:x val="0.10174363966093643"/>
          <c:y val="0.7490695630259333"/>
          <c:w val="0.84266430272374893"/>
          <c:h val="0.2509304369740667"/>
        </c:manualLayout>
      </c:layout>
      <c:overlay val="0"/>
      <c:spPr>
        <a:noFill/>
        <a:ln w="20074">
          <a:noFill/>
        </a:ln>
      </c:spPr>
      <c:txPr>
        <a:bodyPr rot="0" spcFirstLastPara="1" vertOverflow="ellipsis" vert="horz" wrap="square" anchor="ctr" anchorCtr="1"/>
        <a:lstStyle/>
        <a:p>
          <a:pPr>
            <a:defRPr sz="71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7521"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70" b="0" i="0" u="none" strike="noStrike" kern="1200" spc="0" baseline="0">
                <a:solidFill>
                  <a:schemeClr val="tx1">
                    <a:lumMod val="65000"/>
                    <a:lumOff val="35000"/>
                  </a:schemeClr>
                </a:solidFill>
                <a:latin typeface="+mn-lt"/>
                <a:ea typeface="+mn-ea"/>
                <a:cs typeface="+mn-cs"/>
              </a:defRPr>
            </a:pPr>
            <a:r>
              <a:rPr lang="hu-HU" sz="1174" b="1">
                <a:solidFill>
                  <a:schemeClr val="tx1"/>
                </a:solidFill>
              </a:rPr>
              <a:t>Óvodai dolgozók - betöltött</a:t>
            </a:r>
            <a:r>
              <a:rPr lang="hu-HU" sz="1174" b="1" baseline="0">
                <a:solidFill>
                  <a:schemeClr val="tx1"/>
                </a:solidFill>
              </a:rPr>
              <a:t> állások és hiányzó létszám</a:t>
            </a:r>
            <a:endParaRPr lang="hu-HU" sz="1200" b="1">
              <a:solidFill>
                <a:schemeClr val="tx1"/>
              </a:solidFill>
            </a:endParaRPr>
          </a:p>
        </c:rich>
      </c:tx>
      <c:layout/>
      <c:overlay val="0"/>
      <c:spPr>
        <a:noFill/>
        <a:ln w="24855">
          <a:noFill/>
        </a:ln>
      </c:spPr>
    </c:title>
    <c:autoTitleDeleted val="0"/>
    <c:plotArea>
      <c:layout/>
      <c:barChart>
        <c:barDir val="bar"/>
        <c:grouping val="clustered"/>
        <c:varyColors val="0"/>
        <c:ser>
          <c:idx val="0"/>
          <c:order val="0"/>
          <c:tx>
            <c:v>Betöltött állás</c:v>
          </c:tx>
          <c:spPr>
            <a:solidFill>
              <a:srgbClr val="4472C4"/>
            </a:solidFill>
            <a:ln w="24855">
              <a:noFill/>
            </a:ln>
          </c:spPr>
          <c:invertIfNegative val="0"/>
          <c:cat>
            <c:strRef>
              <c:f>'4. Gyermekek'!$BY$10:$BY$14</c:f>
              <c:strCache>
                <c:ptCount val="5"/>
                <c:pt idx="0">
                  <c:v>Óvodapedagógusok száma (ebből 2 fő pedagógiai asszisztens)</c:v>
                </c:pt>
                <c:pt idx="1">
                  <c:v>Ebből diplomás óvodapedagógusok száma</c:v>
                </c:pt>
                <c:pt idx="2">
                  <c:v>Gyógypedagógusok létszáma</c:v>
                </c:pt>
                <c:pt idx="3">
                  <c:v>Dajka/gondozónő</c:v>
                </c:pt>
                <c:pt idx="4">
                  <c:v>Kisegítő személyzet</c:v>
                </c:pt>
              </c:strCache>
            </c:strRef>
          </c:cat>
          <c:val>
            <c:numRef>
              <c:f>'4. Gyermekek'!$BZ$10:$BZ$14</c:f>
              <c:numCache>
                <c:formatCode>#\ ##0</c:formatCode>
                <c:ptCount val="5"/>
                <c:pt idx="0">
                  <c:v>14</c:v>
                </c:pt>
                <c:pt idx="1">
                  <c:v>12</c:v>
                </c:pt>
                <c:pt idx="2">
                  <c:v>0</c:v>
                </c:pt>
                <c:pt idx="3">
                  <c:v>6</c:v>
                </c:pt>
                <c:pt idx="4">
                  <c:v>1</c:v>
                </c:pt>
              </c:numCache>
            </c:numRef>
          </c:val>
          <c:extLst>
            <c:ext xmlns:c16="http://schemas.microsoft.com/office/drawing/2014/chart" uri="{C3380CC4-5D6E-409C-BE32-E72D297353CC}">
              <c16:uniqueId val="{00000000-67D8-430C-BE39-B4221D4872E0}"/>
            </c:ext>
          </c:extLst>
        </c:ser>
        <c:ser>
          <c:idx val="1"/>
          <c:order val="1"/>
          <c:tx>
            <c:strRef>
              <c:f>'4. Gyermekek'!$CA$9</c:f>
              <c:strCache>
                <c:ptCount val="1"/>
                <c:pt idx="0">
                  <c:v>Hiányzó létszám</c:v>
                </c:pt>
              </c:strCache>
            </c:strRef>
          </c:tx>
          <c:spPr>
            <a:solidFill>
              <a:srgbClr val="ED7D31"/>
            </a:solidFill>
            <a:ln w="24855">
              <a:noFill/>
            </a:ln>
          </c:spPr>
          <c:invertIfNegative val="0"/>
          <c:cat>
            <c:strRef>
              <c:f>'4. Gyermekek'!$BY$10:$BY$14</c:f>
              <c:strCache>
                <c:ptCount val="5"/>
                <c:pt idx="0">
                  <c:v>Óvodapedagógusok száma (ebből 2 fő pedagógiai asszisztens)</c:v>
                </c:pt>
                <c:pt idx="1">
                  <c:v>Ebből diplomás óvodapedagógusok száma</c:v>
                </c:pt>
                <c:pt idx="2">
                  <c:v>Gyógypedagógusok létszáma</c:v>
                </c:pt>
                <c:pt idx="3">
                  <c:v>Dajka/gondozónő</c:v>
                </c:pt>
                <c:pt idx="4">
                  <c:v>Kisegítő személyzet</c:v>
                </c:pt>
              </c:strCache>
            </c:strRef>
          </c:cat>
          <c:val>
            <c:numRef>
              <c:f>'4. Gyermekek'!$CA$10:$CA$14</c:f>
              <c:numCache>
                <c:formatCode>#\ ##0</c:formatCode>
                <c:ptCount val="5"/>
                <c:pt idx="0">
                  <c:v>0</c:v>
                </c:pt>
                <c:pt idx="1">
                  <c:v>0</c:v>
                </c:pt>
                <c:pt idx="2">
                  <c:v>0</c:v>
                </c:pt>
                <c:pt idx="3">
                  <c:v>0</c:v>
                </c:pt>
                <c:pt idx="4">
                  <c:v>0</c:v>
                </c:pt>
              </c:numCache>
            </c:numRef>
          </c:val>
          <c:extLst>
            <c:ext xmlns:c16="http://schemas.microsoft.com/office/drawing/2014/chart" uri="{C3380CC4-5D6E-409C-BE32-E72D297353CC}">
              <c16:uniqueId val="{00000001-67D8-430C-BE39-B4221D4872E0}"/>
            </c:ext>
          </c:extLst>
        </c:ser>
        <c:dLbls>
          <c:showLegendKey val="0"/>
          <c:showVal val="0"/>
          <c:showCatName val="0"/>
          <c:showSerName val="0"/>
          <c:showPercent val="0"/>
          <c:showBubbleSize val="0"/>
        </c:dLbls>
        <c:gapWidth val="182"/>
        <c:axId val="285567664"/>
        <c:axId val="1"/>
      </c:barChart>
      <c:catAx>
        <c:axId val="285567664"/>
        <c:scaling>
          <c:orientation val="minMax"/>
        </c:scaling>
        <c:delete val="0"/>
        <c:axPos val="l"/>
        <c:numFmt formatCode="General" sourceLinked="1"/>
        <c:majorTickMark val="none"/>
        <c:minorTickMark val="none"/>
        <c:tickLblPos val="nextTo"/>
        <c:spPr>
          <a:noFill/>
          <a:ln w="9321" cap="flat" cmpd="sng" algn="ctr">
            <a:solidFill>
              <a:schemeClr val="tx1">
                <a:lumMod val="15000"/>
                <a:lumOff val="85000"/>
              </a:schemeClr>
            </a:solidFill>
            <a:round/>
          </a:ln>
          <a:effectLst/>
        </c:spPr>
        <c:txPr>
          <a:bodyPr rot="-60000000" spcFirstLastPara="1" vertOverflow="ellipsis" vert="horz" wrap="square" anchor="ctr" anchorCtr="1"/>
          <a:lstStyle/>
          <a:p>
            <a:pPr>
              <a:defRPr sz="881"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b"/>
        <c:majorGridlines>
          <c:spPr>
            <a:ln w="9321" cap="flat" cmpd="sng" algn="ctr">
              <a:solidFill>
                <a:schemeClr val="tx1">
                  <a:lumMod val="15000"/>
                  <a:lumOff val="85000"/>
                </a:schemeClr>
              </a:solidFill>
              <a:round/>
            </a:ln>
            <a:effectLst/>
          </c:spPr>
        </c:majorGridlines>
        <c:numFmt formatCode="#\ ##0" sourceLinked="1"/>
        <c:majorTickMark val="none"/>
        <c:minorTickMark val="none"/>
        <c:tickLblPos val="nextTo"/>
        <c:spPr>
          <a:ln w="6214">
            <a:noFill/>
          </a:ln>
        </c:spPr>
        <c:txPr>
          <a:bodyPr rot="-60000000" spcFirstLastPara="1" vertOverflow="ellipsis" vert="horz" wrap="square" anchor="ctr" anchorCtr="1"/>
          <a:lstStyle/>
          <a:p>
            <a:pPr>
              <a:defRPr sz="881" b="0" i="0" u="none" strike="noStrike" kern="1200" baseline="0">
                <a:solidFill>
                  <a:schemeClr val="tx1">
                    <a:lumMod val="65000"/>
                    <a:lumOff val="35000"/>
                  </a:schemeClr>
                </a:solidFill>
                <a:latin typeface="+mn-lt"/>
                <a:ea typeface="+mn-ea"/>
                <a:cs typeface="+mn-cs"/>
              </a:defRPr>
            </a:pPr>
            <a:endParaRPr lang="hu-HU"/>
          </a:p>
        </c:txPr>
        <c:crossAx val="285567664"/>
        <c:crosses val="autoZero"/>
        <c:crossBetween val="between"/>
      </c:valAx>
      <c:spPr>
        <a:noFill/>
        <a:ln w="24855">
          <a:noFill/>
        </a:ln>
      </c:spPr>
    </c:plotArea>
    <c:legend>
      <c:legendPos val="b"/>
      <c:layout/>
      <c:overlay val="0"/>
      <c:spPr>
        <a:noFill/>
        <a:ln w="24855">
          <a:noFill/>
        </a:ln>
      </c:spPr>
      <c:txPr>
        <a:bodyPr rot="0" spcFirstLastPara="1" vertOverflow="ellipsis" vert="horz" wrap="square" anchor="ctr" anchorCtr="1"/>
        <a:lstStyle/>
        <a:p>
          <a:pPr>
            <a:defRPr sz="881"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321"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27" b="1" i="0" u="none" strike="noStrike" kern="1200" spc="0" baseline="0">
                <a:solidFill>
                  <a:schemeClr val="tx1"/>
                </a:solidFill>
                <a:latin typeface="+mn-lt"/>
                <a:ea typeface="+mn-ea"/>
                <a:cs typeface="+mn-cs"/>
              </a:defRPr>
            </a:pPr>
            <a:r>
              <a:rPr lang="hu-HU" sz="1127" b="1">
                <a:solidFill>
                  <a:schemeClr val="tx1"/>
                </a:solidFill>
              </a:rPr>
              <a:t>Óvodai férőhelyek</a:t>
            </a:r>
          </a:p>
        </c:rich>
      </c:tx>
      <c:layout/>
      <c:overlay val="0"/>
      <c:spPr>
        <a:noFill/>
        <a:ln w="23855">
          <a:noFill/>
        </a:ln>
      </c:spPr>
    </c:title>
    <c:autoTitleDeleted val="0"/>
    <c:plotArea>
      <c:layout/>
      <c:barChart>
        <c:barDir val="bar"/>
        <c:grouping val="clustered"/>
        <c:varyColors val="0"/>
        <c:ser>
          <c:idx val="1"/>
          <c:order val="0"/>
          <c:tx>
            <c:strRef>
              <c:f>'4. Gyermekek'!$CF$2:$CF$3</c:f>
              <c:strCache>
                <c:ptCount val="2"/>
                <c:pt idx="0">
                  <c:v>Óvodai férőhelyek száma (gyógypedagógiai neveléssel együtt)
(TS 090)</c:v>
                </c:pt>
                <c:pt idx="1">
                  <c:v>db</c:v>
                </c:pt>
              </c:strCache>
            </c:strRef>
          </c:tx>
          <c:spPr>
            <a:solidFill>
              <a:srgbClr val="ED7D31"/>
            </a:solidFill>
            <a:ln w="23855">
              <a:noFill/>
            </a:ln>
          </c:spPr>
          <c:invertIfNegative val="0"/>
          <c:cat>
            <c:numRef>
              <c:f>'4. Gyermekek'!$CC$4:$CC$9</c:f>
              <c:numCache>
                <c:formatCode>General</c:formatCode>
                <c:ptCount val="6"/>
                <c:pt idx="0">
                  <c:v>2015</c:v>
                </c:pt>
                <c:pt idx="1">
                  <c:v>2016</c:v>
                </c:pt>
                <c:pt idx="2">
                  <c:v>2017</c:v>
                </c:pt>
                <c:pt idx="3">
                  <c:v>2018</c:v>
                </c:pt>
                <c:pt idx="4">
                  <c:v>2019</c:v>
                </c:pt>
                <c:pt idx="5">
                  <c:v>2020</c:v>
                </c:pt>
              </c:numCache>
            </c:numRef>
          </c:cat>
          <c:val>
            <c:numRef>
              <c:f>'4. Gyermekek'!$CF$4:$CF$9</c:f>
              <c:numCache>
                <c:formatCode>0</c:formatCode>
                <c:ptCount val="6"/>
                <c:pt idx="0">
                  <c:v>150</c:v>
                </c:pt>
                <c:pt idx="1">
                  <c:v>150</c:v>
                </c:pt>
                <c:pt idx="2">
                  <c:v>150</c:v>
                </c:pt>
                <c:pt idx="3">
                  <c:v>150</c:v>
                </c:pt>
                <c:pt idx="4">
                  <c:v>150</c:v>
                </c:pt>
                <c:pt idx="5">
                  <c:v>150</c:v>
                </c:pt>
              </c:numCache>
            </c:numRef>
          </c:val>
          <c:extLst>
            <c:ext xmlns:c16="http://schemas.microsoft.com/office/drawing/2014/chart" uri="{C3380CC4-5D6E-409C-BE32-E72D297353CC}">
              <c16:uniqueId val="{00000000-16AC-411D-8039-50CAB15BDA0D}"/>
            </c:ext>
          </c:extLst>
        </c:ser>
        <c:ser>
          <c:idx val="2"/>
          <c:order val="1"/>
          <c:tx>
            <c:strRef>
              <c:f>'4. Gyermekek'!$CH$2:$CH$3</c:f>
              <c:strCache>
                <c:ptCount val="2"/>
                <c:pt idx="0">
                  <c:v>Óvodába beírt gyermekek száma (gyógypedagógiai neveléssel együtt)
(TS 087)</c:v>
                </c:pt>
                <c:pt idx="1">
                  <c:v>fő</c:v>
                </c:pt>
              </c:strCache>
            </c:strRef>
          </c:tx>
          <c:spPr>
            <a:solidFill>
              <a:srgbClr val="A5A5A5"/>
            </a:solidFill>
            <a:ln w="23855">
              <a:noFill/>
            </a:ln>
          </c:spPr>
          <c:invertIfNegative val="0"/>
          <c:cat>
            <c:numRef>
              <c:f>'4. Gyermekek'!$CC$4:$CC$9</c:f>
              <c:numCache>
                <c:formatCode>General</c:formatCode>
                <c:ptCount val="6"/>
                <c:pt idx="0">
                  <c:v>2015</c:v>
                </c:pt>
                <c:pt idx="1">
                  <c:v>2016</c:v>
                </c:pt>
                <c:pt idx="2">
                  <c:v>2017</c:v>
                </c:pt>
                <c:pt idx="3">
                  <c:v>2018</c:v>
                </c:pt>
                <c:pt idx="4">
                  <c:v>2019</c:v>
                </c:pt>
                <c:pt idx="5">
                  <c:v>2020</c:v>
                </c:pt>
              </c:numCache>
            </c:numRef>
          </c:cat>
          <c:val>
            <c:numRef>
              <c:f>'4. Gyermekek'!$CH$4:$CH$9</c:f>
              <c:numCache>
                <c:formatCode>0</c:formatCode>
                <c:ptCount val="6"/>
                <c:pt idx="0">
                  <c:v>110</c:v>
                </c:pt>
                <c:pt idx="1">
                  <c:v>125</c:v>
                </c:pt>
                <c:pt idx="2">
                  <c:v>139</c:v>
                </c:pt>
                <c:pt idx="3">
                  <c:v>138</c:v>
                </c:pt>
                <c:pt idx="4">
                  <c:v>138</c:v>
                </c:pt>
                <c:pt idx="5">
                  <c:v>141</c:v>
                </c:pt>
              </c:numCache>
            </c:numRef>
          </c:val>
          <c:extLst>
            <c:ext xmlns:c16="http://schemas.microsoft.com/office/drawing/2014/chart" uri="{C3380CC4-5D6E-409C-BE32-E72D297353CC}">
              <c16:uniqueId val="{00000001-16AC-411D-8039-50CAB15BDA0D}"/>
            </c:ext>
          </c:extLst>
        </c:ser>
        <c:dLbls>
          <c:showLegendKey val="0"/>
          <c:showVal val="0"/>
          <c:showCatName val="0"/>
          <c:showSerName val="0"/>
          <c:showPercent val="0"/>
          <c:showBubbleSize val="0"/>
        </c:dLbls>
        <c:gapWidth val="182"/>
        <c:axId val="283089200"/>
        <c:axId val="1"/>
      </c:barChart>
      <c:catAx>
        <c:axId val="283089200"/>
        <c:scaling>
          <c:orientation val="minMax"/>
        </c:scaling>
        <c:delete val="0"/>
        <c:axPos val="l"/>
        <c:numFmt formatCode="General" sourceLinked="1"/>
        <c:majorTickMark val="none"/>
        <c:minorTickMark val="none"/>
        <c:tickLblPos val="nextTo"/>
        <c:spPr>
          <a:noFill/>
          <a:ln w="8948" cap="flat" cmpd="sng" algn="ctr">
            <a:solidFill>
              <a:schemeClr val="tx1">
                <a:lumMod val="15000"/>
                <a:lumOff val="8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b"/>
        <c:majorGridlines>
          <c:spPr>
            <a:ln w="8948" cap="flat" cmpd="sng" algn="ctr">
              <a:solidFill>
                <a:schemeClr val="tx1">
                  <a:lumMod val="15000"/>
                  <a:lumOff val="85000"/>
                </a:schemeClr>
              </a:solidFill>
              <a:round/>
            </a:ln>
            <a:effectLst/>
          </c:spPr>
        </c:majorGridlines>
        <c:numFmt formatCode="0" sourceLinked="1"/>
        <c:majorTickMark val="none"/>
        <c:minorTickMark val="none"/>
        <c:tickLblPos val="nextTo"/>
        <c:spPr>
          <a:ln w="5964">
            <a:noFill/>
          </a:ln>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hu-HU"/>
          </a:p>
        </c:txPr>
        <c:crossAx val="283089200"/>
        <c:crosses val="autoZero"/>
        <c:crossBetween val="between"/>
      </c:valAx>
      <c:spPr>
        <a:noFill/>
        <a:ln w="23855">
          <a:noFill/>
        </a:ln>
      </c:spPr>
    </c:plotArea>
    <c:legend>
      <c:legendPos val="b"/>
      <c:layout>
        <c:manualLayout>
          <c:xMode val="edge"/>
          <c:yMode val="edge"/>
          <c:x val="9.5906784379225327E-2"/>
          <c:y val="0.8025636112993294"/>
          <c:w val="0.83122755110156699"/>
          <c:h val="0.17332211811802456"/>
        </c:manualLayout>
      </c:layout>
      <c:overlay val="0"/>
      <c:spPr>
        <a:noFill/>
        <a:ln w="23855">
          <a:noFill/>
        </a:ln>
      </c:spPr>
      <c:txPr>
        <a:bodyPr rot="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8948"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w="24887">
          <a:noFill/>
        </a:ln>
      </c:spPr>
      <c:txPr>
        <a:bodyPr rot="0" spcFirstLastPara="1" vertOverflow="ellipsis" vert="horz" wrap="square" anchor="ctr" anchorCtr="1"/>
        <a:lstStyle/>
        <a:p>
          <a:pPr>
            <a:defRPr sz="1177" b="1" i="0" u="none" strike="noStrike" kern="1200" spc="0" baseline="0">
              <a:solidFill>
                <a:schemeClr val="tx1"/>
              </a:solidFill>
              <a:latin typeface="+mn-lt"/>
              <a:ea typeface="+mn-ea"/>
              <a:cs typeface="+mn-cs"/>
            </a:defRPr>
          </a:pPr>
          <a:endParaRPr lang="hu-HU"/>
        </a:p>
      </c:txPr>
    </c:title>
    <c:autoTitleDeleted val="0"/>
    <c:plotArea>
      <c:layout/>
      <c:lineChart>
        <c:grouping val="stacked"/>
        <c:varyColors val="0"/>
        <c:ser>
          <c:idx val="0"/>
          <c:order val="0"/>
          <c:tx>
            <c:strRef>
              <c:f>'4. Gyermekek'!$CK$2</c:f>
              <c:strCache>
                <c:ptCount val="1"/>
                <c:pt idx="0">
                  <c:v>Egy óvodai gyermekcsoportra
 jutó gyermekek száma (TS 089)</c:v>
                </c:pt>
              </c:strCache>
            </c:strRef>
          </c:tx>
          <c:spPr>
            <a:ln w="28032" cap="rnd">
              <a:solidFill>
                <a:schemeClr val="accent1"/>
              </a:solidFill>
              <a:round/>
            </a:ln>
            <a:effectLst/>
          </c:spPr>
          <c:marker>
            <c:symbol val="none"/>
          </c:marker>
          <c:cat>
            <c:numRef>
              <c:f>'4. Gyermekek'!$CC$4:$CC$9</c:f>
              <c:numCache>
                <c:formatCode>General</c:formatCode>
                <c:ptCount val="6"/>
                <c:pt idx="0">
                  <c:v>2015</c:v>
                </c:pt>
                <c:pt idx="1">
                  <c:v>2016</c:v>
                </c:pt>
                <c:pt idx="2">
                  <c:v>2017</c:v>
                </c:pt>
                <c:pt idx="3">
                  <c:v>2018</c:v>
                </c:pt>
                <c:pt idx="4">
                  <c:v>2019</c:v>
                </c:pt>
                <c:pt idx="5">
                  <c:v>2020</c:v>
                </c:pt>
              </c:numCache>
            </c:numRef>
          </c:cat>
          <c:val>
            <c:numRef>
              <c:f>'4. Gyermekek'!$CK$4:$CK$9</c:f>
              <c:numCache>
                <c:formatCode>0</c:formatCode>
                <c:ptCount val="6"/>
                <c:pt idx="0">
                  <c:v>18.329999999999998</c:v>
                </c:pt>
                <c:pt idx="1">
                  <c:v>20.83</c:v>
                </c:pt>
                <c:pt idx="2">
                  <c:v>23.17</c:v>
                </c:pt>
                <c:pt idx="3">
                  <c:v>23</c:v>
                </c:pt>
                <c:pt idx="4">
                  <c:v>23</c:v>
                </c:pt>
                <c:pt idx="5">
                  <c:v>24</c:v>
                </c:pt>
              </c:numCache>
            </c:numRef>
          </c:val>
          <c:smooth val="0"/>
          <c:extLst>
            <c:ext xmlns:c16="http://schemas.microsoft.com/office/drawing/2014/chart" uri="{C3380CC4-5D6E-409C-BE32-E72D297353CC}">
              <c16:uniqueId val="{00000000-E752-4E30-B409-39E59492D4C0}"/>
            </c:ext>
          </c:extLst>
        </c:ser>
        <c:dLbls>
          <c:showLegendKey val="0"/>
          <c:showVal val="0"/>
          <c:showCatName val="0"/>
          <c:showSerName val="0"/>
          <c:showPercent val="0"/>
          <c:showBubbleSize val="0"/>
        </c:dLbls>
        <c:smooth val="0"/>
        <c:axId val="247494144"/>
        <c:axId val="1"/>
      </c:lineChart>
      <c:catAx>
        <c:axId val="247494144"/>
        <c:scaling>
          <c:orientation val="minMax"/>
        </c:scaling>
        <c:delete val="0"/>
        <c:axPos val="b"/>
        <c:numFmt formatCode="General" sourceLinked="1"/>
        <c:majorTickMark val="none"/>
        <c:minorTickMark val="none"/>
        <c:tickLblPos val="nextTo"/>
        <c:spPr>
          <a:noFill/>
          <a:ln w="9344" cap="flat" cmpd="sng" algn="ctr">
            <a:solidFill>
              <a:schemeClr val="tx1">
                <a:lumMod val="15000"/>
                <a:lumOff val="85000"/>
              </a:schemeClr>
            </a:solidFill>
            <a:round/>
          </a:ln>
          <a:effectLst/>
        </c:spPr>
        <c:txPr>
          <a:bodyPr rot="-60000000" spcFirstLastPara="1" vertOverflow="ellipsis" vert="horz" wrap="square" anchor="ctr" anchorCtr="1"/>
          <a:lstStyle/>
          <a:p>
            <a:pPr>
              <a:defRPr sz="883"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9344" cap="flat" cmpd="sng" algn="ctr">
              <a:solidFill>
                <a:schemeClr val="tx1">
                  <a:lumMod val="15000"/>
                  <a:lumOff val="85000"/>
                </a:schemeClr>
              </a:solidFill>
              <a:round/>
            </a:ln>
            <a:effectLst/>
          </c:spPr>
        </c:majorGridlines>
        <c:numFmt formatCode="0" sourceLinked="1"/>
        <c:majorTickMark val="none"/>
        <c:minorTickMark val="none"/>
        <c:tickLblPos val="nextTo"/>
        <c:spPr>
          <a:ln w="6222">
            <a:noFill/>
          </a:ln>
        </c:spPr>
        <c:txPr>
          <a:bodyPr rot="-60000000" spcFirstLastPara="1" vertOverflow="ellipsis" vert="horz" wrap="square" anchor="ctr" anchorCtr="1"/>
          <a:lstStyle/>
          <a:p>
            <a:pPr>
              <a:defRPr sz="883" b="0" i="0" u="none" strike="noStrike" kern="1200" baseline="0">
                <a:solidFill>
                  <a:schemeClr val="tx1">
                    <a:lumMod val="65000"/>
                    <a:lumOff val="35000"/>
                  </a:schemeClr>
                </a:solidFill>
                <a:latin typeface="+mn-lt"/>
                <a:ea typeface="+mn-ea"/>
                <a:cs typeface="+mn-cs"/>
              </a:defRPr>
            </a:pPr>
            <a:endParaRPr lang="hu-HU"/>
          </a:p>
        </c:txPr>
        <c:crossAx val="247494144"/>
        <c:crosses val="autoZero"/>
        <c:crossBetween val="between"/>
      </c:valAx>
      <c:spPr>
        <a:noFill/>
        <a:ln w="24887">
          <a:noFill/>
        </a:ln>
      </c:spPr>
    </c:plotArea>
    <c:plotVisOnly val="1"/>
    <c:dispBlanksAs val="zero"/>
    <c:showDLblsOverMax val="0"/>
  </c:chart>
  <c:spPr>
    <a:solidFill>
      <a:schemeClr val="bg1"/>
    </a:solidFill>
    <a:ln w="9344"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sz="838"/>
              <a:t>Általános iskolák adatai - gyógypedagógia</a:t>
            </a:r>
          </a:p>
        </c:rich>
      </c:tx>
      <c:layout/>
      <c:overlay val="0"/>
      <c:spPr>
        <a:noFill/>
        <a:ln w="17768">
          <a:noFill/>
        </a:ln>
      </c:spPr>
    </c:title>
    <c:autoTitleDeleted val="0"/>
    <c:plotArea>
      <c:layout>
        <c:manualLayout>
          <c:layoutTarget val="inner"/>
          <c:xMode val="edge"/>
          <c:yMode val="edge"/>
          <c:x val="7.5104408674112319E-2"/>
          <c:y val="5.4318034371860349E-2"/>
          <c:w val="0.93588639818370001"/>
          <c:h val="0.58403084138589523"/>
        </c:manualLayout>
      </c:layout>
      <c:barChart>
        <c:barDir val="col"/>
        <c:grouping val="clustered"/>
        <c:varyColors val="0"/>
        <c:ser>
          <c:idx val="0"/>
          <c:order val="0"/>
          <c:tx>
            <c:v>Gyógypedagógiai osztályok száma</c:v>
          </c:tx>
          <c:invertIfNegative val="0"/>
          <c:cat>
            <c:strLit>
              <c:ptCount val="6"/>
              <c:pt idx="0">
                <c:v>2015/2016</c:v>
              </c:pt>
              <c:pt idx="1">
                <c:v>2016/2017</c:v>
              </c:pt>
              <c:pt idx="2">
                <c:v>2017/2018</c:v>
              </c:pt>
              <c:pt idx="3">
                <c:v>2018/2019</c:v>
              </c:pt>
              <c:pt idx="4">
                <c:v>2019/2020</c:v>
              </c:pt>
              <c:pt idx="5">
                <c:v>2020/2021</c:v>
              </c:pt>
            </c:strLit>
          </c:cat>
          <c:val>
            <c:numRef>
              <c:f>'4. Gyermekek'!$CO$4:$CO$9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6416-4B1E-91F1-F32508DAA8A9}"/>
            </c:ext>
          </c:extLst>
        </c:ser>
        <c:ser>
          <c:idx val="1"/>
          <c:order val="1"/>
          <c:tx>
            <c:v>Általános iskolai osztályok (gyógypedagógiaival együtt)</c:v>
          </c:tx>
          <c:invertIfNegative val="0"/>
          <c:cat>
            <c:strLit>
              <c:ptCount val="6"/>
              <c:pt idx="0">
                <c:v>2015/2016</c:v>
              </c:pt>
              <c:pt idx="1">
                <c:v>2016/2017</c:v>
              </c:pt>
              <c:pt idx="2">
                <c:v>2017/2018</c:v>
              </c:pt>
              <c:pt idx="3">
                <c:v>2018/2019</c:v>
              </c:pt>
              <c:pt idx="4">
                <c:v>2019/2020</c:v>
              </c:pt>
              <c:pt idx="5">
                <c:v>2020/2021</c:v>
              </c:pt>
            </c:strLit>
          </c:cat>
          <c:val>
            <c:numRef>
              <c:f>'4. Gyermekek'!$CP$4:$CP$9</c:f>
              <c:numCache>
                <c:formatCode>0</c:formatCode>
                <c:ptCount val="6"/>
                <c:pt idx="0">
                  <c:v>16</c:v>
                </c:pt>
                <c:pt idx="1">
                  <c:v>16</c:v>
                </c:pt>
                <c:pt idx="2">
                  <c:v>16</c:v>
                </c:pt>
                <c:pt idx="3">
                  <c:v>15</c:v>
                </c:pt>
                <c:pt idx="4">
                  <c:v>14</c:v>
                </c:pt>
                <c:pt idx="5">
                  <c:v>14</c:v>
                </c:pt>
              </c:numCache>
            </c:numRef>
          </c:val>
          <c:extLst>
            <c:ext xmlns:c16="http://schemas.microsoft.com/office/drawing/2014/chart" uri="{C3380CC4-5D6E-409C-BE32-E72D297353CC}">
              <c16:uniqueId val="{00000001-6416-4B1E-91F1-F32508DAA8A9}"/>
            </c:ext>
          </c:extLst>
        </c:ser>
        <c:ser>
          <c:idx val="2"/>
          <c:order val="2"/>
          <c:tx>
            <c:v>Feladatellátási helyek száma (gyógypedagógiai oktatással együtt)</c:v>
          </c:tx>
          <c:invertIfNegative val="0"/>
          <c:cat>
            <c:strLit>
              <c:ptCount val="6"/>
              <c:pt idx="0">
                <c:v>2015/2016</c:v>
              </c:pt>
              <c:pt idx="1">
                <c:v>2016/2017</c:v>
              </c:pt>
              <c:pt idx="2">
                <c:v>2017/2018</c:v>
              </c:pt>
              <c:pt idx="3">
                <c:v>2018/2019</c:v>
              </c:pt>
              <c:pt idx="4">
                <c:v>2019/2020</c:v>
              </c:pt>
              <c:pt idx="5">
                <c:v>2020/2021</c:v>
              </c:pt>
            </c:strLit>
          </c:cat>
          <c:val>
            <c:numRef>
              <c:f>'4. Gyermekek'!$CQ$4:$CQ$9</c:f>
              <c:numCache>
                <c:formatCode>0</c:formatCode>
                <c:ptCount val="6"/>
                <c:pt idx="0">
                  <c:v>2</c:v>
                </c:pt>
                <c:pt idx="1">
                  <c:v>2</c:v>
                </c:pt>
                <c:pt idx="2">
                  <c:v>2</c:v>
                </c:pt>
                <c:pt idx="3">
                  <c:v>2</c:v>
                </c:pt>
                <c:pt idx="4">
                  <c:v>2</c:v>
                </c:pt>
                <c:pt idx="5">
                  <c:v>2</c:v>
                </c:pt>
              </c:numCache>
            </c:numRef>
          </c:val>
          <c:extLst>
            <c:ext xmlns:c16="http://schemas.microsoft.com/office/drawing/2014/chart" uri="{C3380CC4-5D6E-409C-BE32-E72D297353CC}">
              <c16:uniqueId val="{00000002-6416-4B1E-91F1-F32508DAA8A9}"/>
            </c:ext>
          </c:extLst>
        </c:ser>
        <c:dLbls>
          <c:showLegendKey val="0"/>
          <c:showVal val="0"/>
          <c:showCatName val="0"/>
          <c:showSerName val="0"/>
          <c:showPercent val="0"/>
          <c:showBubbleSize val="0"/>
        </c:dLbls>
        <c:gapWidth val="150"/>
        <c:axId val="246586512"/>
        <c:axId val="1"/>
      </c:barChart>
      <c:catAx>
        <c:axId val="246586512"/>
        <c:scaling>
          <c:orientation val="minMax"/>
        </c:scaling>
        <c:delete val="0"/>
        <c:axPos val="b"/>
        <c:numFmt formatCode="General"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crossAx val="246586512"/>
        <c:crosses val="autoZero"/>
        <c:crossBetween val="between"/>
      </c:valAx>
    </c:plotArea>
    <c:legend>
      <c:legendPos val="b"/>
      <c:layout>
        <c:manualLayout>
          <c:xMode val="edge"/>
          <c:yMode val="edge"/>
          <c:x val="0.10010701700961412"/>
          <c:y val="0.79489113156630065"/>
          <c:w val="0.80467829642841604"/>
          <c:h val="0.18416127561519602"/>
        </c:manualLayout>
      </c:layout>
      <c:overlay val="0"/>
      <c:txPr>
        <a:bodyPr/>
        <a:lstStyle/>
        <a:p>
          <a:pPr>
            <a:defRPr b="0"/>
          </a:pPr>
          <a:endParaRPr lang="hu-H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98" b="1" i="0" u="none" strike="noStrike" kern="1200" baseline="0">
                <a:solidFill>
                  <a:sysClr val="windowText" lastClr="000000"/>
                </a:solidFill>
                <a:latin typeface="+mn-lt"/>
                <a:ea typeface="+mn-ea"/>
                <a:cs typeface="+mn-cs"/>
              </a:defRPr>
            </a:pPr>
            <a:r>
              <a:rPr lang="hu-HU" sz="1198" b="1" i="0" baseline="0"/>
              <a:t>Állandó népesség - nők életkori megoszlása</a:t>
            </a:r>
          </a:p>
        </c:rich>
      </c:tx>
      <c:layout/>
      <c:overlay val="0"/>
    </c:title>
    <c:autoTitleDeleted val="0"/>
    <c:plotArea>
      <c:layout>
        <c:manualLayout>
          <c:layoutTarget val="inner"/>
          <c:xMode val="edge"/>
          <c:yMode val="edge"/>
          <c:x val="0.21634573117384717"/>
          <c:y val="0.22870946801197217"/>
          <c:w val="0.38374101232271718"/>
          <c:h val="0.72570819075048221"/>
        </c:manualLayout>
      </c:layout>
      <c:pieChart>
        <c:varyColors val="1"/>
        <c:ser>
          <c:idx val="0"/>
          <c:order val="0"/>
          <c:tx>
            <c:strRef>
              <c:f>'Település Bemutatása - Népesség'!$H$3</c:f>
              <c:strCache>
                <c:ptCount val="1"/>
                <c:pt idx="0">
                  <c:v>Nők</c:v>
                </c:pt>
              </c:strCache>
            </c:strRef>
          </c:tx>
          <c:spPr>
            <a:ln>
              <a:solidFill>
                <a:schemeClr val="bg1">
                  <a:lumMod val="95000"/>
                </a:schemeClr>
              </a:solidFill>
            </a:ln>
          </c:spPr>
          <c:dPt>
            <c:idx val="0"/>
            <c:bubble3D val="0"/>
            <c:extLst>
              <c:ext xmlns:c16="http://schemas.microsoft.com/office/drawing/2014/chart" uri="{C3380CC4-5D6E-409C-BE32-E72D297353CC}">
                <c16:uniqueId val="{00000000-B638-4C72-972B-9C82124AEDA7}"/>
              </c:ext>
            </c:extLst>
          </c:dPt>
          <c:dPt>
            <c:idx val="1"/>
            <c:bubble3D val="0"/>
            <c:spPr>
              <a:solidFill>
                <a:srgbClr val="7030A0"/>
              </a:solidFill>
              <a:ln>
                <a:solidFill>
                  <a:schemeClr val="bg1">
                    <a:lumMod val="95000"/>
                  </a:schemeClr>
                </a:solidFill>
              </a:ln>
            </c:spPr>
            <c:extLst>
              <c:ext xmlns:c16="http://schemas.microsoft.com/office/drawing/2014/chart" uri="{C3380CC4-5D6E-409C-BE32-E72D297353CC}">
                <c16:uniqueId val="{00000001-B638-4C72-972B-9C82124AEDA7}"/>
              </c:ext>
            </c:extLst>
          </c:dPt>
          <c:dPt>
            <c:idx val="2"/>
            <c:bubble3D val="0"/>
            <c:spPr>
              <a:solidFill>
                <a:srgbClr val="92D050"/>
              </a:solidFill>
              <a:ln>
                <a:solidFill>
                  <a:schemeClr val="bg1">
                    <a:lumMod val="95000"/>
                  </a:schemeClr>
                </a:solidFill>
              </a:ln>
            </c:spPr>
            <c:extLst>
              <c:ext xmlns:c16="http://schemas.microsoft.com/office/drawing/2014/chart" uri="{C3380CC4-5D6E-409C-BE32-E72D297353CC}">
                <c16:uniqueId val="{00000002-B638-4C72-972B-9C82124AEDA7}"/>
              </c:ext>
            </c:extLst>
          </c:dPt>
          <c:dPt>
            <c:idx val="3"/>
            <c:bubble3D val="0"/>
            <c:extLst>
              <c:ext xmlns:c16="http://schemas.microsoft.com/office/drawing/2014/chart" uri="{C3380CC4-5D6E-409C-BE32-E72D297353CC}">
                <c16:uniqueId val="{00000003-B638-4C72-972B-9C82124AEDA7}"/>
              </c:ext>
            </c:extLst>
          </c:dPt>
          <c:dPt>
            <c:idx val="4"/>
            <c:bubble3D val="0"/>
            <c:spPr>
              <a:solidFill>
                <a:srgbClr val="FF0000"/>
              </a:solidFill>
              <a:ln>
                <a:solidFill>
                  <a:schemeClr val="bg1">
                    <a:lumMod val="95000"/>
                  </a:schemeClr>
                </a:solidFill>
              </a:ln>
            </c:spPr>
            <c:extLst>
              <c:ext xmlns:c16="http://schemas.microsoft.com/office/drawing/2014/chart" uri="{C3380CC4-5D6E-409C-BE32-E72D297353CC}">
                <c16:uniqueId val="{00000004-B638-4C72-972B-9C82124AEDA7}"/>
              </c:ext>
            </c:extLst>
          </c:dPt>
          <c:dLbls>
            <c:dLbl>
              <c:idx val="2"/>
              <c:layout>
                <c:manualLayout>
                  <c:x val="3.817859191165749E-2"/>
                  <c:y val="-0.14608730953580076"/>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B638-4C72-972B-9C82124AEDA7}"/>
                </c:ext>
              </c:extLst>
            </c:dLbl>
            <c:spPr>
              <a:noFill/>
              <a:ln w="25364">
                <a:noFill/>
              </a:ln>
            </c:spPr>
            <c:txPr>
              <a:bodyPr wrap="square" lIns="38100" tIns="19050" rIns="38100" bIns="19050" anchor="ctr">
                <a:spAutoFit/>
              </a:bodyPr>
              <a:lstStyle/>
              <a:p>
                <a:pPr>
                  <a:defRPr b="1"/>
                </a:pPr>
                <a:endParaRPr lang="hu-H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Lit>
              <c:ptCount val="5"/>
              <c:pt idx="0">
                <c:v>'0-14 évesek</c:v>
              </c:pt>
              <c:pt idx="1">
                <c:v>15-17 évesek</c:v>
              </c:pt>
              <c:pt idx="2">
                <c:v>18-59 évesek</c:v>
              </c:pt>
              <c:pt idx="3">
                <c:v>60-64 évesek</c:v>
              </c:pt>
              <c:pt idx="4">
                <c:v>65 év felettiek'</c:v>
              </c:pt>
            </c:strLit>
          </c:cat>
          <c:val>
            <c:numRef>
              <c:f>'Település Bemutatása - Népesség'!$H$6:$H$10</c:f>
              <c:numCache>
                <c:formatCode>General</c:formatCode>
                <c:ptCount val="5"/>
                <c:pt idx="0">
                  <c:v>286</c:v>
                </c:pt>
                <c:pt idx="1">
                  <c:v>81</c:v>
                </c:pt>
                <c:pt idx="2">
                  <c:v>1336</c:v>
                </c:pt>
                <c:pt idx="3">
                  <c:v>189</c:v>
                </c:pt>
                <c:pt idx="4">
                  <c:v>654</c:v>
                </c:pt>
              </c:numCache>
            </c:numRef>
          </c:val>
          <c:extLst>
            <c:ext xmlns:c16="http://schemas.microsoft.com/office/drawing/2014/chart" uri="{C3380CC4-5D6E-409C-BE32-E72D297353CC}">
              <c16:uniqueId val="{00000005-B638-4C72-972B-9C82124AEDA7}"/>
            </c:ext>
          </c:extLst>
        </c:ser>
        <c:dLbls>
          <c:showLegendKey val="0"/>
          <c:showVal val="0"/>
          <c:showCatName val="0"/>
          <c:showSerName val="0"/>
          <c:showPercent val="0"/>
          <c:showBubbleSize val="0"/>
          <c:showLeaderLines val="1"/>
        </c:dLbls>
        <c:firstSliceAng val="0"/>
      </c:pieChart>
      <c:spPr>
        <a:noFill/>
        <a:ln w="25364">
          <a:noFill/>
        </a:ln>
      </c:spPr>
    </c:plotArea>
    <c:legend>
      <c:legendPos val="r"/>
      <c:layout>
        <c:manualLayout>
          <c:xMode val="edge"/>
          <c:yMode val="edge"/>
          <c:x val="0.73401131525226015"/>
          <c:y val="0.27926348286923902"/>
          <c:w val="0.24251361913094194"/>
          <c:h val="0.50786576965235675"/>
        </c:manualLayout>
      </c:layout>
      <c:overlay val="0"/>
      <c:txPr>
        <a:bodyPr/>
        <a:lstStyle/>
        <a:p>
          <a:pPr rtl="0">
            <a:defRPr sz="1098"/>
          </a:pPr>
          <a:endParaRPr lang="hu-HU"/>
        </a:p>
      </c:txPr>
    </c:legend>
    <c:plotVisOnly val="1"/>
    <c:dispBlanksAs val="zero"/>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19" b="0" i="0" u="none" strike="noStrike" kern="1200" spc="0" baseline="0">
                <a:solidFill>
                  <a:schemeClr val="tx1">
                    <a:lumMod val="65000"/>
                    <a:lumOff val="35000"/>
                  </a:schemeClr>
                </a:solidFill>
                <a:latin typeface="+mn-lt"/>
                <a:ea typeface="+mn-ea"/>
                <a:cs typeface="+mn-cs"/>
              </a:defRPr>
            </a:pPr>
            <a:r>
              <a:rPr lang="hu-HU" sz="1044" b="1">
                <a:solidFill>
                  <a:schemeClr val="tx1"/>
                </a:solidFill>
              </a:rPr>
              <a:t>Gyermekjóléti, hátránykompenzáló</a:t>
            </a:r>
            <a:r>
              <a:rPr lang="hu-HU" sz="1044" b="1" baseline="0">
                <a:solidFill>
                  <a:schemeClr val="tx1"/>
                </a:solidFill>
              </a:rPr>
              <a:t> szolgáltatások</a:t>
            </a:r>
            <a:endParaRPr lang="hu-HU" sz="1200" b="1">
              <a:solidFill>
                <a:schemeClr val="tx1"/>
              </a:solidFill>
            </a:endParaRPr>
          </a:p>
        </c:rich>
      </c:tx>
      <c:layout/>
      <c:overlay val="0"/>
      <c:spPr>
        <a:noFill/>
        <a:ln w="22123">
          <a:noFill/>
        </a:ln>
      </c:spPr>
    </c:title>
    <c:autoTitleDeleted val="0"/>
    <c:plotArea>
      <c:layout/>
      <c:barChart>
        <c:barDir val="col"/>
        <c:grouping val="stacked"/>
        <c:varyColors val="0"/>
        <c:ser>
          <c:idx val="0"/>
          <c:order val="0"/>
          <c:tx>
            <c:strRef>
              <c:f>'4. Gyermekek'!$CZ$2</c:f>
              <c:strCache>
                <c:ptCount val="1"/>
                <c:pt idx="0">
                  <c:v>Biztos kezdet gyerekházat rendszeresen igénybe vevő gyermekek száma</c:v>
                </c:pt>
              </c:strCache>
            </c:strRef>
          </c:tx>
          <c:spPr>
            <a:solidFill>
              <a:srgbClr val="4472C4"/>
            </a:solidFill>
            <a:ln w="22123">
              <a:noFill/>
            </a:ln>
          </c:spPr>
          <c:invertIfNegative val="0"/>
          <c:cat>
            <c:numRef>
              <c:f>'4. Gyermekek'!$CY$4:$CY$9</c:f>
              <c:numCache>
                <c:formatCode>General</c:formatCode>
                <c:ptCount val="6"/>
                <c:pt idx="0">
                  <c:v>2015</c:v>
                </c:pt>
                <c:pt idx="1">
                  <c:v>2016</c:v>
                </c:pt>
                <c:pt idx="2">
                  <c:v>2017</c:v>
                </c:pt>
                <c:pt idx="3">
                  <c:v>2018</c:v>
                </c:pt>
                <c:pt idx="4">
                  <c:v>2019</c:v>
                </c:pt>
                <c:pt idx="5">
                  <c:v>2020</c:v>
                </c:pt>
              </c:numCache>
            </c:numRef>
          </c:cat>
          <c:val>
            <c:numRef>
              <c:f>'4. Gyermekek'!$CZ$4:$CZ$9</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CC52-458E-AAB2-DABE25BFFBF5}"/>
            </c:ext>
          </c:extLst>
        </c:ser>
        <c:ser>
          <c:idx val="1"/>
          <c:order val="1"/>
          <c:tx>
            <c:strRef>
              <c:f>'4. Gyermekek'!$DA$2</c:f>
              <c:strCache>
                <c:ptCount val="1"/>
                <c:pt idx="0">
                  <c:v>Tanoda szolgáltatást rendszeresen igénybe vevő gyermekek száma</c:v>
                </c:pt>
              </c:strCache>
            </c:strRef>
          </c:tx>
          <c:spPr>
            <a:solidFill>
              <a:srgbClr val="ED7D31"/>
            </a:solidFill>
            <a:ln w="22123">
              <a:noFill/>
            </a:ln>
          </c:spPr>
          <c:invertIfNegative val="0"/>
          <c:cat>
            <c:numRef>
              <c:f>'4. Gyermekek'!$CY$4:$CY$9</c:f>
              <c:numCache>
                <c:formatCode>General</c:formatCode>
                <c:ptCount val="6"/>
                <c:pt idx="0">
                  <c:v>2015</c:v>
                </c:pt>
                <c:pt idx="1">
                  <c:v>2016</c:v>
                </c:pt>
                <c:pt idx="2">
                  <c:v>2017</c:v>
                </c:pt>
                <c:pt idx="3">
                  <c:v>2018</c:v>
                </c:pt>
                <c:pt idx="4">
                  <c:v>2019</c:v>
                </c:pt>
                <c:pt idx="5">
                  <c:v>2020</c:v>
                </c:pt>
              </c:numCache>
            </c:numRef>
          </c:cat>
          <c:val>
            <c:numRef>
              <c:f>'4. Gyermekek'!$DA$4:$DA$9</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CC52-458E-AAB2-DABE25BFFBF5}"/>
            </c:ext>
          </c:extLst>
        </c:ser>
        <c:ser>
          <c:idx val="2"/>
          <c:order val="2"/>
          <c:tx>
            <c:strRef>
              <c:f>'4. Gyermekek'!$DB$2</c:f>
              <c:strCache>
                <c:ptCount val="1"/>
                <c:pt idx="0">
                  <c:v>Család- és gyermekjóléti szolgáltatást igénybe vevő kiskorúak száma</c:v>
                </c:pt>
              </c:strCache>
            </c:strRef>
          </c:tx>
          <c:spPr>
            <a:solidFill>
              <a:srgbClr val="A5A5A5"/>
            </a:solidFill>
            <a:ln w="22123">
              <a:noFill/>
            </a:ln>
          </c:spPr>
          <c:invertIfNegative val="0"/>
          <c:cat>
            <c:numRef>
              <c:f>'4. Gyermekek'!$CY$4:$CY$9</c:f>
              <c:numCache>
                <c:formatCode>General</c:formatCode>
                <c:ptCount val="6"/>
                <c:pt idx="0">
                  <c:v>2015</c:v>
                </c:pt>
                <c:pt idx="1">
                  <c:v>2016</c:v>
                </c:pt>
                <c:pt idx="2">
                  <c:v>2017</c:v>
                </c:pt>
                <c:pt idx="3">
                  <c:v>2018</c:v>
                </c:pt>
                <c:pt idx="4">
                  <c:v>2019</c:v>
                </c:pt>
                <c:pt idx="5">
                  <c:v>2020</c:v>
                </c:pt>
              </c:numCache>
            </c:numRef>
          </c:cat>
          <c:val>
            <c:numRef>
              <c:f>'4. Gyermekek'!$DB$4:$DB$9</c:f>
              <c:numCache>
                <c:formatCode>General</c:formatCode>
                <c:ptCount val="6"/>
                <c:pt idx="0">
                  <c:v>53</c:v>
                </c:pt>
                <c:pt idx="1">
                  <c:v>49</c:v>
                </c:pt>
                <c:pt idx="2">
                  <c:v>43</c:v>
                </c:pt>
                <c:pt idx="3">
                  <c:v>46</c:v>
                </c:pt>
                <c:pt idx="4">
                  <c:v>54</c:v>
                </c:pt>
                <c:pt idx="5">
                  <c:v>54</c:v>
                </c:pt>
              </c:numCache>
            </c:numRef>
          </c:val>
          <c:extLst>
            <c:ext xmlns:c16="http://schemas.microsoft.com/office/drawing/2014/chart" uri="{C3380CC4-5D6E-409C-BE32-E72D297353CC}">
              <c16:uniqueId val="{00000002-CC52-458E-AAB2-DABE25BFFBF5}"/>
            </c:ext>
          </c:extLst>
        </c:ser>
        <c:ser>
          <c:idx val="3"/>
          <c:order val="3"/>
          <c:tx>
            <c:strRef>
              <c:f>'4. Gyermekek'!$DC$2</c:f>
              <c:strCache>
                <c:ptCount val="1"/>
                <c:pt idx="0">
                  <c:v>Szünidei étkeztetésben részesülő gyermekek száma (TS 112)</c:v>
                </c:pt>
              </c:strCache>
            </c:strRef>
          </c:tx>
          <c:spPr>
            <a:solidFill>
              <a:srgbClr val="FFC000"/>
            </a:solidFill>
            <a:ln w="22123">
              <a:noFill/>
            </a:ln>
          </c:spPr>
          <c:invertIfNegative val="0"/>
          <c:cat>
            <c:numRef>
              <c:f>'4. Gyermekek'!$CY$4:$CY$9</c:f>
              <c:numCache>
                <c:formatCode>General</c:formatCode>
                <c:ptCount val="6"/>
                <c:pt idx="0">
                  <c:v>2015</c:v>
                </c:pt>
                <c:pt idx="1">
                  <c:v>2016</c:v>
                </c:pt>
                <c:pt idx="2">
                  <c:v>2017</c:v>
                </c:pt>
                <c:pt idx="3">
                  <c:v>2018</c:v>
                </c:pt>
                <c:pt idx="4">
                  <c:v>2019</c:v>
                </c:pt>
                <c:pt idx="5">
                  <c:v>2020</c:v>
                </c:pt>
              </c:numCache>
            </c:numRef>
          </c:cat>
          <c:val>
            <c:numRef>
              <c:f>'4. Gyermekek'!$DC$4:$DC$9</c:f>
              <c:numCache>
                <c:formatCode>0</c:formatCode>
                <c:ptCount val="6"/>
                <c:pt idx="0">
                  <c:v>0</c:v>
                </c:pt>
                <c:pt idx="1">
                  <c:v>58</c:v>
                </c:pt>
                <c:pt idx="2">
                  <c:v>63</c:v>
                </c:pt>
                <c:pt idx="3">
                  <c:v>64</c:v>
                </c:pt>
                <c:pt idx="4">
                  <c:v>26</c:v>
                </c:pt>
                <c:pt idx="5">
                  <c:v>25</c:v>
                </c:pt>
              </c:numCache>
            </c:numRef>
          </c:val>
          <c:extLst>
            <c:ext xmlns:c16="http://schemas.microsoft.com/office/drawing/2014/chart" uri="{C3380CC4-5D6E-409C-BE32-E72D297353CC}">
              <c16:uniqueId val="{00000003-CC52-458E-AAB2-DABE25BFFBF5}"/>
            </c:ext>
          </c:extLst>
        </c:ser>
        <c:dLbls>
          <c:showLegendKey val="0"/>
          <c:showVal val="0"/>
          <c:showCatName val="0"/>
          <c:showSerName val="0"/>
          <c:showPercent val="0"/>
          <c:showBubbleSize val="0"/>
        </c:dLbls>
        <c:gapWidth val="150"/>
        <c:overlap val="100"/>
        <c:axId val="288635648"/>
        <c:axId val="1"/>
      </c:barChart>
      <c:catAx>
        <c:axId val="288635648"/>
        <c:scaling>
          <c:orientation val="minMax"/>
        </c:scaling>
        <c:delete val="0"/>
        <c:axPos val="b"/>
        <c:numFmt formatCode="General" sourceLinked="1"/>
        <c:majorTickMark val="none"/>
        <c:minorTickMark val="none"/>
        <c:tickLblPos val="nextTo"/>
        <c:spPr>
          <a:noFill/>
          <a:ln w="8288" cap="flat" cmpd="sng" algn="ctr">
            <a:solidFill>
              <a:schemeClr val="tx1">
                <a:lumMod val="15000"/>
                <a:lumOff val="85000"/>
              </a:schemeClr>
            </a:solidFill>
            <a:round/>
          </a:ln>
          <a:effectLst/>
        </c:spPr>
        <c:txPr>
          <a:bodyPr rot="-60000000" spcFirstLastPara="1" vertOverflow="ellipsis" vert="horz" wrap="square" anchor="ctr" anchorCtr="1"/>
          <a:lstStyle/>
          <a:p>
            <a:pPr>
              <a:defRPr sz="783"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8288" cap="flat" cmpd="sng" algn="ctr">
              <a:solidFill>
                <a:schemeClr val="tx1">
                  <a:lumMod val="15000"/>
                  <a:lumOff val="85000"/>
                </a:schemeClr>
              </a:solidFill>
              <a:round/>
            </a:ln>
            <a:effectLst/>
          </c:spPr>
        </c:majorGridlines>
        <c:numFmt formatCode="General" sourceLinked="1"/>
        <c:majorTickMark val="none"/>
        <c:minorTickMark val="none"/>
        <c:tickLblPos val="nextTo"/>
        <c:spPr>
          <a:ln w="5531">
            <a:noFill/>
          </a:ln>
        </c:spPr>
        <c:txPr>
          <a:bodyPr rot="-60000000" spcFirstLastPara="1" vertOverflow="ellipsis" vert="horz" wrap="square" anchor="ctr" anchorCtr="1"/>
          <a:lstStyle/>
          <a:p>
            <a:pPr>
              <a:defRPr sz="783" b="0" i="0" u="none" strike="noStrike" kern="1200" baseline="0">
                <a:solidFill>
                  <a:schemeClr val="tx1">
                    <a:lumMod val="65000"/>
                    <a:lumOff val="35000"/>
                  </a:schemeClr>
                </a:solidFill>
                <a:latin typeface="+mn-lt"/>
                <a:ea typeface="+mn-ea"/>
                <a:cs typeface="+mn-cs"/>
              </a:defRPr>
            </a:pPr>
            <a:endParaRPr lang="hu-HU"/>
          </a:p>
        </c:txPr>
        <c:crossAx val="288635648"/>
        <c:crosses val="autoZero"/>
        <c:crossBetween val="between"/>
      </c:valAx>
      <c:spPr>
        <a:noFill/>
        <a:ln w="22123">
          <a:noFill/>
        </a:ln>
      </c:spPr>
    </c:plotArea>
    <c:legend>
      <c:legendPos val="b"/>
      <c:layout/>
      <c:overlay val="0"/>
      <c:spPr>
        <a:noFill/>
        <a:ln w="22123">
          <a:noFill/>
        </a:ln>
      </c:spPr>
      <c:txPr>
        <a:bodyPr rot="0" spcFirstLastPara="1" vertOverflow="ellipsis" vert="horz" wrap="square" anchor="ctr" anchorCtr="1"/>
        <a:lstStyle/>
        <a:p>
          <a:pPr>
            <a:defRPr sz="783"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8288"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Munkanélküliség nemek szerint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'[ÚJ INDIKÁTORTÁBLA adatokkal feltöltve 220613.xlsx]3. Mélyszegények-Romák'!$F$3</c:f>
              <c:strCache>
                <c:ptCount val="1"/>
                <c:pt idx="0">
                  <c:v>Férfiak aránya 
(TS 033)</c:v>
                </c:pt>
              </c:strCache>
            </c:strRef>
          </c:tx>
          <c:spPr>
            <a:solidFill>
              <a:schemeClr val="accent1"/>
            </a:solidFill>
            <a:ln>
              <a:noFill/>
            </a:ln>
            <a:effectLst/>
          </c:spPr>
          <c:invertIfNegative val="0"/>
          <c:cat>
            <c:numRef>
              <c:f>'[ÚJ INDIKÁTORTÁBLA adatokkal feltöltve 220613.xlsx]3. Mélyszegények-Romák'!$E$4:$E$9</c:f>
              <c:numCache>
                <c:formatCode>General</c:formatCode>
                <c:ptCount val="6"/>
                <c:pt idx="0">
                  <c:v>2015</c:v>
                </c:pt>
                <c:pt idx="1">
                  <c:v>2016</c:v>
                </c:pt>
                <c:pt idx="2">
                  <c:v>2017</c:v>
                </c:pt>
                <c:pt idx="3">
                  <c:v>2018</c:v>
                </c:pt>
                <c:pt idx="4">
                  <c:v>2019</c:v>
                </c:pt>
                <c:pt idx="5">
                  <c:v>2020</c:v>
                </c:pt>
              </c:numCache>
            </c:numRef>
          </c:cat>
          <c:val>
            <c:numRef>
              <c:f>'[ÚJ INDIKÁTORTÁBLA adatokkal feltöltve 220613.xlsx]3. Mélyszegények-Romák'!$F$4:$F$9</c:f>
              <c:numCache>
                <c:formatCode>0.00%</c:formatCode>
                <c:ptCount val="6"/>
                <c:pt idx="0">
                  <c:v>3.2300000000000002E-2</c:v>
                </c:pt>
                <c:pt idx="1">
                  <c:v>4.1000000000000002E-2</c:v>
                </c:pt>
                <c:pt idx="2">
                  <c:v>3.0599999999999999E-2</c:v>
                </c:pt>
                <c:pt idx="3">
                  <c:v>3.2000000000000001E-2</c:v>
                </c:pt>
                <c:pt idx="4">
                  <c:v>4.4299999999999999E-2</c:v>
                </c:pt>
                <c:pt idx="5">
                  <c:v>0</c:v>
                </c:pt>
              </c:numCache>
            </c:numRef>
          </c:val>
          <c:extLst>
            <c:ext xmlns:c16="http://schemas.microsoft.com/office/drawing/2014/chart" uri="{C3380CC4-5D6E-409C-BE32-E72D297353CC}">
              <c16:uniqueId val="{00000000-DB20-4F01-AE54-3136845C01E5}"/>
            </c:ext>
          </c:extLst>
        </c:ser>
        <c:ser>
          <c:idx val="1"/>
          <c:order val="1"/>
          <c:tx>
            <c:strRef>
              <c:f>'[ÚJ INDIKÁTORTÁBLA adatokkal feltöltve 220613.xlsx]3. Mélyszegények-Romák'!$G$3</c:f>
              <c:strCache>
                <c:ptCount val="1"/>
                <c:pt idx="0">
                  <c:v>Nők aránya 
(TS 034)</c:v>
                </c:pt>
              </c:strCache>
            </c:strRef>
          </c:tx>
          <c:spPr>
            <a:solidFill>
              <a:schemeClr val="accent2"/>
            </a:solidFill>
            <a:ln>
              <a:noFill/>
            </a:ln>
            <a:effectLst/>
          </c:spPr>
          <c:invertIfNegative val="0"/>
          <c:cat>
            <c:numRef>
              <c:f>'[ÚJ INDIKÁTORTÁBLA adatokkal feltöltve 220613.xlsx]3. Mélyszegények-Romák'!$E$4:$E$9</c:f>
              <c:numCache>
                <c:formatCode>General</c:formatCode>
                <c:ptCount val="6"/>
                <c:pt idx="0">
                  <c:v>2015</c:v>
                </c:pt>
                <c:pt idx="1">
                  <c:v>2016</c:v>
                </c:pt>
                <c:pt idx="2">
                  <c:v>2017</c:v>
                </c:pt>
                <c:pt idx="3">
                  <c:v>2018</c:v>
                </c:pt>
                <c:pt idx="4">
                  <c:v>2019</c:v>
                </c:pt>
                <c:pt idx="5">
                  <c:v>2020</c:v>
                </c:pt>
              </c:numCache>
            </c:numRef>
          </c:cat>
          <c:val>
            <c:numRef>
              <c:f>'[ÚJ INDIKÁTORTÁBLA adatokkal feltöltve 220613.xlsx]3. Mélyszegények-Romák'!$G$4:$G$9</c:f>
              <c:numCache>
                <c:formatCode>0.00%</c:formatCode>
                <c:ptCount val="6"/>
                <c:pt idx="0">
                  <c:v>5.7299999999999997E-2</c:v>
                </c:pt>
                <c:pt idx="1">
                  <c:v>4.2200000000000001E-2</c:v>
                </c:pt>
                <c:pt idx="2">
                  <c:v>3.0800000000000001E-2</c:v>
                </c:pt>
                <c:pt idx="3">
                  <c:v>3.49E-2</c:v>
                </c:pt>
                <c:pt idx="4">
                  <c:v>3.4200000000000001E-2</c:v>
                </c:pt>
                <c:pt idx="5">
                  <c:v>0</c:v>
                </c:pt>
              </c:numCache>
            </c:numRef>
          </c:val>
          <c:extLst>
            <c:ext xmlns:c16="http://schemas.microsoft.com/office/drawing/2014/chart" uri="{C3380CC4-5D6E-409C-BE32-E72D297353CC}">
              <c16:uniqueId val="{00000001-DB20-4F01-AE54-3136845C01E5}"/>
            </c:ext>
          </c:extLst>
        </c:ser>
        <c:dLbls>
          <c:showLegendKey val="0"/>
          <c:showVal val="0"/>
          <c:showCatName val="0"/>
          <c:showSerName val="0"/>
          <c:showPercent val="0"/>
          <c:showBubbleSize val="0"/>
        </c:dLbls>
        <c:gapWidth val="219"/>
        <c:overlap val="-27"/>
        <c:axId val="559540208"/>
        <c:axId val="522798672"/>
      </c:barChart>
      <c:catAx>
        <c:axId val="55954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22798672"/>
        <c:crosses val="autoZero"/>
        <c:auto val="1"/>
        <c:lblAlgn val="ctr"/>
        <c:lblOffset val="100"/>
        <c:noMultiLvlLbl val="0"/>
      </c:catAx>
      <c:valAx>
        <c:axId val="5227986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595402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180 napnál</a:t>
            </a:r>
            <a:r>
              <a:rPr lang="hu-HU" sz="1200" b="1" baseline="0">
                <a:solidFill>
                  <a:schemeClr val="tx1"/>
                </a:solidFill>
              </a:rPr>
              <a:t> hosszab ideje álláskeresők</a:t>
            </a:r>
            <a:endParaRPr lang="hu-HU" sz="1200" b="1">
              <a:solidFill>
                <a:schemeClr val="tx1"/>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v>180 napnál régebb óta regisztrált</c:v>
          </c:tx>
          <c:spPr>
            <a:solidFill>
              <a:schemeClr val="accent1"/>
            </a:solidFill>
            <a:ln>
              <a:noFill/>
            </a:ln>
            <a:effectLst/>
          </c:spPr>
          <c:invertIfNegative val="0"/>
          <c:cat>
            <c:numRef>
              <c:f>'[ÚJ INDIKÁTORTÁBLA adatokkal feltöltve 220613.xlsx]3. Mélyszegények-Romák'!$S$5:$S$10</c:f>
              <c:numCache>
                <c:formatCode>General</c:formatCode>
                <c:ptCount val="6"/>
                <c:pt idx="0">
                  <c:v>2015</c:v>
                </c:pt>
                <c:pt idx="1">
                  <c:v>2016</c:v>
                </c:pt>
                <c:pt idx="2">
                  <c:v>2017</c:v>
                </c:pt>
                <c:pt idx="3">
                  <c:v>2018</c:v>
                </c:pt>
                <c:pt idx="4">
                  <c:v>2019</c:v>
                </c:pt>
                <c:pt idx="5">
                  <c:v>2020</c:v>
                </c:pt>
              </c:numCache>
            </c:numRef>
          </c:cat>
          <c:val>
            <c:numRef>
              <c:f>'[ÚJ INDIKÁTORTÁBLA adatokkal feltöltve 220613.xlsx]3. Mélyszegények-Romák'!$T$5:$T$10</c:f>
              <c:numCache>
                <c:formatCode>0.00%</c:formatCode>
                <c:ptCount val="6"/>
                <c:pt idx="0">
                  <c:v>0.47370000000000001</c:v>
                </c:pt>
                <c:pt idx="1">
                  <c:v>0.35249999999999998</c:v>
                </c:pt>
                <c:pt idx="2">
                  <c:v>0.3725</c:v>
                </c:pt>
                <c:pt idx="3">
                  <c:v>0.38179999999999997</c:v>
                </c:pt>
                <c:pt idx="4">
                  <c:v>0.40939999999999999</c:v>
                </c:pt>
                <c:pt idx="5">
                  <c:v>0</c:v>
                </c:pt>
              </c:numCache>
            </c:numRef>
          </c:val>
          <c:extLst>
            <c:ext xmlns:c16="http://schemas.microsoft.com/office/drawing/2014/chart" uri="{C3380CC4-5D6E-409C-BE32-E72D297353CC}">
              <c16:uniqueId val="{00000000-E835-43DF-934B-C948D14EEB59}"/>
            </c:ext>
          </c:extLst>
        </c:ser>
        <c:ser>
          <c:idx val="1"/>
          <c:order val="1"/>
          <c:tx>
            <c:v>Nők arénya a 180 napon túl regisztáltak között</c:v>
          </c:tx>
          <c:spPr>
            <a:solidFill>
              <a:schemeClr val="accent2"/>
            </a:solidFill>
            <a:ln>
              <a:noFill/>
            </a:ln>
            <a:effectLst/>
          </c:spPr>
          <c:invertIfNegative val="0"/>
          <c:cat>
            <c:numRef>
              <c:f>'[ÚJ INDIKÁTORTÁBLA adatokkal feltöltve 220613.xlsx]3. Mélyszegények-Romák'!$S$5:$S$10</c:f>
              <c:numCache>
                <c:formatCode>General</c:formatCode>
                <c:ptCount val="6"/>
                <c:pt idx="0">
                  <c:v>2015</c:v>
                </c:pt>
                <c:pt idx="1">
                  <c:v>2016</c:v>
                </c:pt>
                <c:pt idx="2">
                  <c:v>2017</c:v>
                </c:pt>
                <c:pt idx="3">
                  <c:v>2018</c:v>
                </c:pt>
                <c:pt idx="4">
                  <c:v>2019</c:v>
                </c:pt>
                <c:pt idx="5">
                  <c:v>2020</c:v>
                </c:pt>
              </c:numCache>
            </c:numRef>
          </c:cat>
          <c:val>
            <c:numRef>
              <c:f>'[ÚJ INDIKÁTORTÁBLA adatokkal feltöltve 220613.xlsx]3. Mélyszegények-Romák'!$U$5:$U$10</c:f>
              <c:numCache>
                <c:formatCode>0.00%</c:formatCode>
                <c:ptCount val="6"/>
                <c:pt idx="0">
                  <c:v>0.73609999999999998</c:v>
                </c:pt>
                <c:pt idx="1">
                  <c:v>0.61219999999999997</c:v>
                </c:pt>
                <c:pt idx="2">
                  <c:v>0.65790000000000004</c:v>
                </c:pt>
                <c:pt idx="3">
                  <c:v>0.64290000000000003</c:v>
                </c:pt>
                <c:pt idx="4">
                  <c:v>0.48080000000000001</c:v>
                </c:pt>
                <c:pt idx="5">
                  <c:v>0</c:v>
                </c:pt>
              </c:numCache>
            </c:numRef>
          </c:val>
          <c:extLst>
            <c:ext xmlns:c16="http://schemas.microsoft.com/office/drawing/2014/chart" uri="{C3380CC4-5D6E-409C-BE32-E72D297353CC}">
              <c16:uniqueId val="{00000001-E835-43DF-934B-C948D14EEB59}"/>
            </c:ext>
          </c:extLst>
        </c:ser>
        <c:dLbls>
          <c:showLegendKey val="0"/>
          <c:showVal val="0"/>
          <c:showCatName val="0"/>
          <c:showSerName val="0"/>
          <c:showPercent val="0"/>
          <c:showBubbleSize val="0"/>
        </c:dLbls>
        <c:gapWidth val="182"/>
        <c:axId val="522792688"/>
        <c:axId val="522794320"/>
      </c:barChart>
      <c:catAx>
        <c:axId val="522792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22794320"/>
        <c:crosses val="autoZero"/>
        <c:auto val="1"/>
        <c:lblAlgn val="ctr"/>
        <c:lblOffset val="100"/>
        <c:noMultiLvlLbl val="0"/>
      </c:catAx>
      <c:valAx>
        <c:axId val="52279432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227926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Álláskeresők</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v>Nyilvántartott álláskeresők</c:v>
          </c:tx>
          <c:spPr>
            <a:solidFill>
              <a:schemeClr val="accent1"/>
            </a:solidFill>
            <a:ln>
              <a:noFill/>
            </a:ln>
            <a:effectLst/>
          </c:spPr>
          <c:invertIfNegative val="0"/>
          <c:cat>
            <c:numRef>
              <c:f>'[ÚJ INDIKÁTORTÁBLA adatokkal feltöltve 220613.xlsx]3. Mélyszegények-Romák'!$AJ$4:$AJ$9</c:f>
              <c:numCache>
                <c:formatCode>General</c:formatCode>
                <c:ptCount val="6"/>
                <c:pt idx="0">
                  <c:v>2015</c:v>
                </c:pt>
                <c:pt idx="1">
                  <c:v>2016</c:v>
                </c:pt>
                <c:pt idx="2">
                  <c:v>2017</c:v>
                </c:pt>
                <c:pt idx="3">
                  <c:v>2018</c:v>
                </c:pt>
                <c:pt idx="4">
                  <c:v>2019</c:v>
                </c:pt>
                <c:pt idx="5">
                  <c:v>2020</c:v>
                </c:pt>
              </c:numCache>
            </c:numRef>
          </c:cat>
          <c:val>
            <c:numRef>
              <c:f>'[ÚJ INDIKÁTORTÁBLA adatokkal feltöltve 220613.xlsx]3. Mélyszegények-Romák'!$AK$4:$AK$9</c:f>
              <c:numCache>
                <c:formatCode>0</c:formatCode>
                <c:ptCount val="6"/>
                <c:pt idx="0">
                  <c:v>152</c:v>
                </c:pt>
                <c:pt idx="1">
                  <c:v>139</c:v>
                </c:pt>
                <c:pt idx="2">
                  <c:v>102</c:v>
                </c:pt>
                <c:pt idx="3">
                  <c:v>110</c:v>
                </c:pt>
                <c:pt idx="4">
                  <c:v>127</c:v>
                </c:pt>
                <c:pt idx="5">
                  <c:v>0</c:v>
                </c:pt>
              </c:numCache>
            </c:numRef>
          </c:val>
          <c:extLst>
            <c:ext xmlns:c16="http://schemas.microsoft.com/office/drawing/2014/chart" uri="{C3380CC4-5D6E-409C-BE32-E72D297353CC}">
              <c16:uniqueId val="{00000000-ADFC-45A8-9733-4CB782E42E9E}"/>
            </c:ext>
          </c:extLst>
        </c:ser>
        <c:ser>
          <c:idx val="1"/>
          <c:order val="1"/>
          <c:tx>
            <c:v>Nyilvántartott pályakezdő álláskeresők</c:v>
          </c:tx>
          <c:spPr>
            <a:solidFill>
              <a:schemeClr val="accent2"/>
            </a:solidFill>
            <a:ln>
              <a:noFill/>
            </a:ln>
            <a:effectLst/>
          </c:spPr>
          <c:invertIfNegative val="0"/>
          <c:cat>
            <c:numRef>
              <c:f>'[ÚJ INDIKÁTORTÁBLA adatokkal feltöltve 220613.xlsx]3. Mélyszegények-Romák'!$AJ$4:$AJ$9</c:f>
              <c:numCache>
                <c:formatCode>General</c:formatCode>
                <c:ptCount val="6"/>
                <c:pt idx="0">
                  <c:v>2015</c:v>
                </c:pt>
                <c:pt idx="1">
                  <c:v>2016</c:v>
                </c:pt>
                <c:pt idx="2">
                  <c:v>2017</c:v>
                </c:pt>
                <c:pt idx="3">
                  <c:v>2018</c:v>
                </c:pt>
                <c:pt idx="4">
                  <c:v>2019</c:v>
                </c:pt>
                <c:pt idx="5">
                  <c:v>2020</c:v>
                </c:pt>
              </c:numCache>
            </c:numRef>
          </c:cat>
          <c:val>
            <c:numRef>
              <c:f>'[ÚJ INDIKÁTORTÁBLA adatokkal feltöltve 220613.xlsx]3. Mélyszegények-Romák'!$AL$4:$AL$9</c:f>
              <c:numCache>
                <c:formatCode>0</c:formatCode>
                <c:ptCount val="6"/>
                <c:pt idx="0">
                  <c:v>18</c:v>
                </c:pt>
                <c:pt idx="1">
                  <c:v>14</c:v>
                </c:pt>
                <c:pt idx="2">
                  <c:v>14</c:v>
                </c:pt>
                <c:pt idx="3">
                  <c:v>13</c:v>
                </c:pt>
                <c:pt idx="4">
                  <c:v>10</c:v>
                </c:pt>
                <c:pt idx="5">
                  <c:v>0</c:v>
                </c:pt>
              </c:numCache>
            </c:numRef>
          </c:val>
          <c:extLst>
            <c:ext xmlns:c16="http://schemas.microsoft.com/office/drawing/2014/chart" uri="{C3380CC4-5D6E-409C-BE32-E72D297353CC}">
              <c16:uniqueId val="{00000001-ADFC-45A8-9733-4CB782E42E9E}"/>
            </c:ext>
          </c:extLst>
        </c:ser>
        <c:dLbls>
          <c:showLegendKey val="0"/>
          <c:showVal val="0"/>
          <c:showCatName val="0"/>
          <c:showSerName val="0"/>
          <c:showPercent val="0"/>
          <c:showBubbleSize val="0"/>
        </c:dLbls>
        <c:gapWidth val="182"/>
        <c:axId val="522794864"/>
        <c:axId val="522795408"/>
      </c:barChart>
      <c:catAx>
        <c:axId val="522794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22795408"/>
        <c:crosses val="autoZero"/>
        <c:auto val="1"/>
        <c:lblAlgn val="ctr"/>
        <c:lblOffset val="100"/>
        <c:noMultiLvlLbl val="0"/>
      </c:catAx>
      <c:valAx>
        <c:axId val="5227954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227948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Védőnői álláshelyek (db)</a:t>
            </a:r>
          </a:p>
        </c:rich>
      </c:tx>
      <c:layout/>
      <c:overlay val="0"/>
    </c:title>
    <c:autoTitleDeleted val="0"/>
    <c:plotArea>
      <c:layout/>
      <c:barChart>
        <c:barDir val="col"/>
        <c:grouping val="clustered"/>
        <c:varyColors val="0"/>
        <c:ser>
          <c:idx val="0"/>
          <c:order val="0"/>
          <c:tx>
            <c:v>Védőnői álláshelyek</c:v>
          </c:tx>
          <c:invertIfNegative val="0"/>
          <c:cat>
            <c:numRef>
              <c:f>'[ÚJ INDIKÁTORTÁBLA adatokkal feltöltve 220613.xlsx]5. Nők'!$O$4:$O$9</c:f>
              <c:numCache>
                <c:formatCode>General</c:formatCode>
                <c:ptCount val="6"/>
                <c:pt idx="0">
                  <c:v>2015</c:v>
                </c:pt>
                <c:pt idx="1">
                  <c:v>2016</c:v>
                </c:pt>
                <c:pt idx="2">
                  <c:v>2017</c:v>
                </c:pt>
                <c:pt idx="3">
                  <c:v>2018</c:v>
                </c:pt>
                <c:pt idx="4">
                  <c:v>2019</c:v>
                </c:pt>
                <c:pt idx="5">
                  <c:v>2020</c:v>
                </c:pt>
              </c:numCache>
            </c:numRef>
          </c:cat>
          <c:val>
            <c:numRef>
              <c:f>'[ÚJ INDIKÁTORTÁBLA adatokkal feltöltve 220613.xlsx]4. Gyermekek'!$AD$4:$AD$9</c:f>
              <c:numCache>
                <c:formatCode>0</c:formatCode>
                <c:ptCount val="6"/>
                <c:pt idx="0">
                  <c:v>2</c:v>
                </c:pt>
                <c:pt idx="1">
                  <c:v>2</c:v>
                </c:pt>
                <c:pt idx="2">
                  <c:v>2</c:v>
                </c:pt>
                <c:pt idx="3">
                  <c:v>2</c:v>
                </c:pt>
                <c:pt idx="4">
                  <c:v>2</c:v>
                </c:pt>
                <c:pt idx="5">
                  <c:v>2</c:v>
                </c:pt>
              </c:numCache>
            </c:numRef>
          </c:val>
          <c:extLst>
            <c:ext xmlns:c16="http://schemas.microsoft.com/office/drawing/2014/chart" uri="{C3380CC4-5D6E-409C-BE32-E72D297353CC}">
              <c16:uniqueId val="{00000000-46CC-4AD5-8354-F4B731110FD3}"/>
            </c:ext>
          </c:extLst>
        </c:ser>
        <c:dLbls>
          <c:showLegendKey val="0"/>
          <c:showVal val="0"/>
          <c:showCatName val="0"/>
          <c:showSerName val="0"/>
          <c:showPercent val="0"/>
          <c:showBubbleSize val="0"/>
        </c:dLbls>
        <c:gapWidth val="150"/>
        <c:axId val="559545104"/>
        <c:axId val="559545648"/>
      </c:barChart>
      <c:catAx>
        <c:axId val="559545104"/>
        <c:scaling>
          <c:orientation val="minMax"/>
        </c:scaling>
        <c:delete val="0"/>
        <c:axPos val="b"/>
        <c:numFmt formatCode="General" sourceLinked="1"/>
        <c:majorTickMark val="out"/>
        <c:minorTickMark val="none"/>
        <c:tickLblPos val="nextTo"/>
        <c:crossAx val="559545648"/>
        <c:crosses val="autoZero"/>
        <c:auto val="1"/>
        <c:lblAlgn val="ctr"/>
        <c:lblOffset val="100"/>
        <c:noMultiLvlLbl val="0"/>
      </c:catAx>
      <c:valAx>
        <c:axId val="559545648"/>
        <c:scaling>
          <c:orientation val="minMax"/>
        </c:scaling>
        <c:delete val="0"/>
        <c:axPos val="l"/>
        <c:majorGridlines/>
        <c:numFmt formatCode="0" sourceLinked="1"/>
        <c:majorTickMark val="out"/>
        <c:minorTickMark val="none"/>
        <c:tickLblPos val="nextTo"/>
        <c:crossAx val="559545104"/>
        <c:crosses val="autoZero"/>
        <c:crossBetween val="between"/>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hu-HU" sz="1200"/>
              <a:t>Egy védőnőre jutó gyermekek száma (fő)</a:t>
            </a:r>
          </a:p>
        </c:rich>
      </c:tx>
      <c:layout/>
      <c:overlay val="0"/>
    </c:title>
    <c:autoTitleDeleted val="0"/>
    <c:plotArea>
      <c:layout>
        <c:manualLayout>
          <c:layoutTarget val="inner"/>
          <c:xMode val="edge"/>
          <c:yMode val="edge"/>
          <c:x val="9.8916284496086568E-2"/>
          <c:y val="0.17349020655378758"/>
          <c:w val="0.8758908324933643"/>
          <c:h val="0.69260255343949406"/>
        </c:manualLayout>
      </c:layout>
      <c:barChart>
        <c:barDir val="col"/>
        <c:grouping val="clustered"/>
        <c:varyColors val="0"/>
        <c:ser>
          <c:idx val="0"/>
          <c:order val="0"/>
          <c:tx>
            <c:v>Védőnőre jutó gyerekek száma</c:v>
          </c:tx>
          <c:invertIfNegative val="0"/>
          <c:cat>
            <c:numRef>
              <c:f>'[ÚJ INDIKÁTORTÁBLA adatokkal feltöltve 220613.xlsx]5. Nők'!$O$4:$O$9</c:f>
              <c:numCache>
                <c:formatCode>General</c:formatCode>
                <c:ptCount val="6"/>
                <c:pt idx="0">
                  <c:v>2015</c:v>
                </c:pt>
                <c:pt idx="1">
                  <c:v>2016</c:v>
                </c:pt>
                <c:pt idx="2">
                  <c:v>2017</c:v>
                </c:pt>
                <c:pt idx="3">
                  <c:v>2018</c:v>
                </c:pt>
                <c:pt idx="4">
                  <c:v>2019</c:v>
                </c:pt>
                <c:pt idx="5">
                  <c:v>2020</c:v>
                </c:pt>
              </c:numCache>
            </c:numRef>
          </c:cat>
          <c:val>
            <c:numRef>
              <c:f>'[ÚJ INDIKÁTORTÁBLA adatokkal feltöltve 220613.xlsx]4. Gyermekek'!$AF$4:$AF$9</c:f>
              <c:numCache>
                <c:formatCode>0</c:formatCode>
                <c:ptCount val="6"/>
                <c:pt idx="0">
                  <c:v>75.5</c:v>
                </c:pt>
                <c:pt idx="1">
                  <c:v>83.5</c:v>
                </c:pt>
                <c:pt idx="2">
                  <c:v>97</c:v>
                </c:pt>
                <c:pt idx="3">
                  <c:v>90.5</c:v>
                </c:pt>
                <c:pt idx="4" formatCode="0.00">
                  <c:v>90.5</c:v>
                </c:pt>
                <c:pt idx="5" formatCode="0.00">
                  <c:v>85.5</c:v>
                </c:pt>
              </c:numCache>
            </c:numRef>
          </c:val>
          <c:extLst>
            <c:ext xmlns:c16="http://schemas.microsoft.com/office/drawing/2014/chart" uri="{C3380CC4-5D6E-409C-BE32-E72D297353CC}">
              <c16:uniqueId val="{00000000-8F93-421D-9F86-E9A43BD522E5}"/>
            </c:ext>
          </c:extLst>
        </c:ser>
        <c:dLbls>
          <c:showLegendKey val="0"/>
          <c:showVal val="0"/>
          <c:showCatName val="0"/>
          <c:showSerName val="0"/>
          <c:showPercent val="0"/>
          <c:showBubbleSize val="0"/>
        </c:dLbls>
        <c:gapWidth val="150"/>
        <c:axId val="559539120"/>
        <c:axId val="559546192"/>
      </c:barChart>
      <c:catAx>
        <c:axId val="559539120"/>
        <c:scaling>
          <c:orientation val="minMax"/>
        </c:scaling>
        <c:delete val="0"/>
        <c:axPos val="b"/>
        <c:numFmt formatCode="General" sourceLinked="1"/>
        <c:majorTickMark val="out"/>
        <c:minorTickMark val="none"/>
        <c:tickLblPos val="nextTo"/>
        <c:crossAx val="559546192"/>
        <c:crosses val="autoZero"/>
        <c:auto val="1"/>
        <c:lblAlgn val="ctr"/>
        <c:lblOffset val="100"/>
        <c:noMultiLvlLbl val="0"/>
      </c:catAx>
      <c:valAx>
        <c:axId val="559546192"/>
        <c:scaling>
          <c:orientation val="minMax"/>
        </c:scaling>
        <c:delete val="0"/>
        <c:axPos val="l"/>
        <c:majorGridlines/>
        <c:numFmt formatCode="0" sourceLinked="1"/>
        <c:majorTickMark val="out"/>
        <c:minorTickMark val="none"/>
        <c:tickLblPos val="nextTo"/>
        <c:crossAx val="559539120"/>
        <c:crosses val="autoZero"/>
        <c:crossBetween val="between"/>
      </c:valAx>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Bölcsödei helyek és beírt gyermekek</a:t>
            </a:r>
            <a:r>
              <a:rPr lang="hu-HU" sz="1200" b="1" baseline="0">
                <a:solidFill>
                  <a:schemeClr val="tx1"/>
                </a:solidFill>
              </a:rPr>
              <a:t> száma</a:t>
            </a:r>
            <a:endParaRPr lang="hu-HU" sz="1200" b="1">
              <a:solidFill>
                <a:schemeClr val="tx1"/>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v>Müködő önkormányzati bölcsödei férőhelyek</c:v>
          </c:tx>
          <c:spPr>
            <a:solidFill>
              <a:schemeClr val="accent1"/>
            </a:solidFill>
            <a:ln>
              <a:noFill/>
            </a:ln>
            <a:effectLst/>
          </c:spPr>
          <c:invertIfNegative val="0"/>
          <c:cat>
            <c:numRef>
              <c:f>'[ÚJ INDIKÁTORTÁBLA adatokkal feltöltve 220613.xlsx]4. Gyermekek'!$AO$4:$AO$9</c:f>
              <c:numCache>
                <c:formatCode>General</c:formatCode>
                <c:ptCount val="6"/>
                <c:pt idx="0">
                  <c:v>2015</c:v>
                </c:pt>
                <c:pt idx="1">
                  <c:v>2016</c:v>
                </c:pt>
                <c:pt idx="2">
                  <c:v>2017</c:v>
                </c:pt>
                <c:pt idx="3">
                  <c:v>2018</c:v>
                </c:pt>
                <c:pt idx="4">
                  <c:v>2019</c:v>
                </c:pt>
                <c:pt idx="5">
                  <c:v>2020</c:v>
                </c:pt>
              </c:numCache>
            </c:numRef>
          </c:cat>
          <c:val>
            <c:numRef>
              <c:f>'[ÚJ INDIKÁTORTÁBLA adatokkal feltöltve 220613.xlsx]4. Gyermekek'!$AP$4:$AP$9</c:f>
              <c:numCache>
                <c:formatCode>#,##0</c:formatCode>
                <c:ptCount val="6"/>
                <c:pt idx="0">
                  <c:v>20</c:v>
                </c:pt>
                <c:pt idx="1">
                  <c:v>20</c:v>
                </c:pt>
                <c:pt idx="2">
                  <c:v>20</c:v>
                </c:pt>
                <c:pt idx="3">
                  <c:v>20</c:v>
                </c:pt>
                <c:pt idx="4">
                  <c:v>24</c:v>
                </c:pt>
                <c:pt idx="5">
                  <c:v>24</c:v>
                </c:pt>
              </c:numCache>
            </c:numRef>
          </c:val>
          <c:extLst>
            <c:ext xmlns:c16="http://schemas.microsoft.com/office/drawing/2014/chart" uri="{C3380CC4-5D6E-409C-BE32-E72D297353CC}">
              <c16:uniqueId val="{00000000-F5ED-43F1-836F-0F5EC0AAA2CC}"/>
            </c:ext>
          </c:extLst>
        </c:ser>
        <c:ser>
          <c:idx val="1"/>
          <c:order val="1"/>
          <c:tx>
            <c:v>Önkormányzati bölcsödébe beírtak száma</c:v>
          </c:tx>
          <c:spPr>
            <a:solidFill>
              <a:schemeClr val="accent2"/>
            </a:solidFill>
            <a:ln>
              <a:noFill/>
            </a:ln>
            <a:effectLst/>
          </c:spPr>
          <c:invertIfNegative val="0"/>
          <c:cat>
            <c:numRef>
              <c:f>'[ÚJ INDIKÁTORTÁBLA adatokkal feltöltve 220613.xlsx]4. Gyermekek'!$AO$4:$AO$9</c:f>
              <c:numCache>
                <c:formatCode>General</c:formatCode>
                <c:ptCount val="6"/>
                <c:pt idx="0">
                  <c:v>2015</c:v>
                </c:pt>
                <c:pt idx="1">
                  <c:v>2016</c:v>
                </c:pt>
                <c:pt idx="2">
                  <c:v>2017</c:v>
                </c:pt>
                <c:pt idx="3">
                  <c:v>2018</c:v>
                </c:pt>
                <c:pt idx="4">
                  <c:v>2019</c:v>
                </c:pt>
                <c:pt idx="5">
                  <c:v>2020</c:v>
                </c:pt>
              </c:numCache>
            </c:numRef>
          </c:cat>
          <c:val>
            <c:numRef>
              <c:f>'[ÚJ INDIKÁTORTÁBLA adatokkal feltöltve 220613.xlsx]4. Gyermekek'!$AQ$4:$AQ$9</c:f>
              <c:numCache>
                <c:formatCode>#,##0</c:formatCode>
                <c:ptCount val="6"/>
                <c:pt idx="0">
                  <c:v>20</c:v>
                </c:pt>
                <c:pt idx="1">
                  <c:v>20</c:v>
                </c:pt>
                <c:pt idx="2">
                  <c:v>20</c:v>
                </c:pt>
                <c:pt idx="3">
                  <c:v>20</c:v>
                </c:pt>
                <c:pt idx="4">
                  <c:v>22</c:v>
                </c:pt>
                <c:pt idx="5">
                  <c:v>22</c:v>
                </c:pt>
              </c:numCache>
            </c:numRef>
          </c:val>
          <c:extLst>
            <c:ext xmlns:c16="http://schemas.microsoft.com/office/drawing/2014/chart" uri="{C3380CC4-5D6E-409C-BE32-E72D297353CC}">
              <c16:uniqueId val="{00000001-F5ED-43F1-836F-0F5EC0AAA2CC}"/>
            </c:ext>
          </c:extLst>
        </c:ser>
        <c:dLbls>
          <c:showLegendKey val="0"/>
          <c:showVal val="0"/>
          <c:showCatName val="0"/>
          <c:showSerName val="0"/>
          <c:showPercent val="0"/>
          <c:showBubbleSize val="0"/>
        </c:dLbls>
        <c:gapWidth val="219"/>
        <c:overlap val="-27"/>
        <c:axId val="820594944"/>
        <c:axId val="820595488"/>
      </c:barChart>
      <c:catAx>
        <c:axId val="82059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0595488"/>
        <c:crosses val="autoZero"/>
        <c:auto val="1"/>
        <c:lblAlgn val="ctr"/>
        <c:lblOffset val="100"/>
        <c:noMultiLvlLbl val="0"/>
      </c:catAx>
      <c:valAx>
        <c:axId val="820595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05949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Bölcsődei férőhelyek kihasználtsága</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manualLayout>
          <c:layoutTarget val="inner"/>
          <c:xMode val="edge"/>
          <c:yMode val="edge"/>
          <c:x val="4.9481281076361884E-2"/>
          <c:y val="0.1176000089792419"/>
          <c:w val="0.92781059375489172"/>
          <c:h val="0.6891202053253318"/>
        </c:manualLayout>
      </c:layout>
      <c:barChart>
        <c:barDir val="col"/>
        <c:grouping val="clustered"/>
        <c:varyColors val="0"/>
        <c:ser>
          <c:idx val="0"/>
          <c:order val="0"/>
          <c:tx>
            <c:strRef>
              <c:f>'[ÚJ INDIKÁTORTÁBLA adatokkal feltöltve 220613.xlsx]4. Gyermekek'!$AZ$2</c:f>
              <c:strCache>
                <c:ptCount val="1"/>
                <c:pt idx="0">
                  <c:v>Működő (összes) bölcsődei férőhelyek száma (TS 124)</c:v>
                </c:pt>
              </c:strCache>
            </c:strRef>
          </c:tx>
          <c:spPr>
            <a:solidFill>
              <a:schemeClr val="accent1"/>
            </a:solidFill>
            <a:ln>
              <a:noFill/>
            </a:ln>
            <a:effectLst/>
          </c:spPr>
          <c:invertIfNegative val="0"/>
          <c:cat>
            <c:numRef>
              <c:f>'[ÚJ INDIKÁTORTÁBLA adatokkal feltöltve 220613.xlsx]4. Gyermekek'!$AO$4:$AO$9</c:f>
              <c:numCache>
                <c:formatCode>General</c:formatCode>
                <c:ptCount val="6"/>
                <c:pt idx="0">
                  <c:v>2015</c:v>
                </c:pt>
                <c:pt idx="1">
                  <c:v>2016</c:v>
                </c:pt>
                <c:pt idx="2">
                  <c:v>2017</c:v>
                </c:pt>
                <c:pt idx="3">
                  <c:v>2018</c:v>
                </c:pt>
                <c:pt idx="4">
                  <c:v>2019</c:v>
                </c:pt>
                <c:pt idx="5">
                  <c:v>2020</c:v>
                </c:pt>
              </c:numCache>
            </c:numRef>
          </c:cat>
          <c:val>
            <c:numRef>
              <c:f>'[ÚJ INDIKÁTORTÁBLA adatokkal feltöltve 220613.xlsx]4. Gyermekek'!$AZ$4:$AZ$9</c:f>
              <c:numCache>
                <c:formatCode>0</c:formatCode>
                <c:ptCount val="6"/>
                <c:pt idx="0">
                  <c:v>20</c:v>
                </c:pt>
                <c:pt idx="1">
                  <c:v>20</c:v>
                </c:pt>
                <c:pt idx="2">
                  <c:v>20</c:v>
                </c:pt>
                <c:pt idx="3">
                  <c:v>20</c:v>
                </c:pt>
                <c:pt idx="4">
                  <c:v>24</c:v>
                </c:pt>
                <c:pt idx="5">
                  <c:v>24</c:v>
                </c:pt>
              </c:numCache>
            </c:numRef>
          </c:val>
          <c:extLst>
            <c:ext xmlns:c16="http://schemas.microsoft.com/office/drawing/2014/chart" uri="{C3380CC4-5D6E-409C-BE32-E72D297353CC}">
              <c16:uniqueId val="{00000000-E3CF-4A52-A249-1782EF85C41B}"/>
            </c:ext>
          </c:extLst>
        </c:ser>
        <c:ser>
          <c:idx val="1"/>
          <c:order val="1"/>
          <c:tx>
            <c:strRef>
              <c:f>'[ÚJ INDIKÁTORTÁBLA adatokkal feltöltve 220613.xlsx]4. Gyermekek'!$BA$2</c:f>
              <c:strCache>
                <c:ptCount val="1"/>
                <c:pt idx="0">
                  <c:v>Bölcsődébe (összes) beírt gyermekek száma
(TS 120)</c:v>
                </c:pt>
              </c:strCache>
            </c:strRef>
          </c:tx>
          <c:spPr>
            <a:solidFill>
              <a:schemeClr val="accent2"/>
            </a:solidFill>
            <a:ln>
              <a:noFill/>
            </a:ln>
            <a:effectLst/>
          </c:spPr>
          <c:invertIfNegative val="0"/>
          <c:cat>
            <c:numRef>
              <c:f>'[ÚJ INDIKÁTORTÁBLA adatokkal feltöltve 220613.xlsx]4. Gyermekek'!$AO$4:$AO$9</c:f>
              <c:numCache>
                <c:formatCode>General</c:formatCode>
                <c:ptCount val="6"/>
                <c:pt idx="0">
                  <c:v>2015</c:v>
                </c:pt>
                <c:pt idx="1">
                  <c:v>2016</c:v>
                </c:pt>
                <c:pt idx="2">
                  <c:v>2017</c:v>
                </c:pt>
                <c:pt idx="3">
                  <c:v>2018</c:v>
                </c:pt>
                <c:pt idx="4">
                  <c:v>2019</c:v>
                </c:pt>
                <c:pt idx="5">
                  <c:v>2020</c:v>
                </c:pt>
              </c:numCache>
            </c:numRef>
          </c:cat>
          <c:val>
            <c:numRef>
              <c:f>'[ÚJ INDIKÁTORTÁBLA adatokkal feltöltve 220613.xlsx]4. Gyermekek'!$BA$4:$BA$9</c:f>
              <c:numCache>
                <c:formatCode>0</c:formatCode>
                <c:ptCount val="6"/>
                <c:pt idx="0">
                  <c:v>0</c:v>
                </c:pt>
                <c:pt idx="1">
                  <c:v>0</c:v>
                </c:pt>
                <c:pt idx="2">
                  <c:v>20</c:v>
                </c:pt>
                <c:pt idx="3">
                  <c:v>20</c:v>
                </c:pt>
                <c:pt idx="4">
                  <c:v>22</c:v>
                </c:pt>
                <c:pt idx="5">
                  <c:v>22</c:v>
                </c:pt>
              </c:numCache>
            </c:numRef>
          </c:val>
          <c:extLst>
            <c:ext xmlns:c16="http://schemas.microsoft.com/office/drawing/2014/chart" uri="{C3380CC4-5D6E-409C-BE32-E72D297353CC}">
              <c16:uniqueId val="{00000001-E3CF-4A52-A249-1782EF85C41B}"/>
            </c:ext>
          </c:extLst>
        </c:ser>
        <c:dLbls>
          <c:showLegendKey val="0"/>
          <c:showVal val="0"/>
          <c:showCatName val="0"/>
          <c:showSerName val="0"/>
          <c:showPercent val="0"/>
          <c:showBubbleSize val="0"/>
        </c:dLbls>
        <c:gapWidth val="219"/>
        <c:overlap val="-27"/>
        <c:axId val="820597120"/>
        <c:axId val="827858320"/>
      </c:barChart>
      <c:catAx>
        <c:axId val="82059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7858320"/>
        <c:crosses val="autoZero"/>
        <c:auto val="1"/>
        <c:lblAlgn val="ctr"/>
        <c:lblOffset val="100"/>
        <c:noMultiLvlLbl val="0"/>
      </c:catAx>
      <c:valAx>
        <c:axId val="827858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0597120"/>
        <c:crosses val="autoZero"/>
        <c:crossBetween val="between"/>
      </c:valAx>
      <c:spPr>
        <a:noFill/>
        <a:ln>
          <a:noFill/>
        </a:ln>
        <a:effectLst/>
      </c:spPr>
    </c:plotArea>
    <c:legend>
      <c:legendPos val="b"/>
      <c:layout>
        <c:manualLayout>
          <c:xMode val="edge"/>
          <c:yMode val="edge"/>
          <c:x val="0.19129352764397559"/>
          <c:y val="0.85974202903437924"/>
          <c:w val="0.61741294471204877"/>
          <c:h val="9.45763150055921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Öregedési index (%)</a:t>
            </a:r>
          </a:p>
        </c:rich>
      </c:tx>
      <c:layout/>
      <c:overlay val="0"/>
    </c:title>
    <c:autoTitleDeleted val="0"/>
    <c:plotArea>
      <c:layout/>
      <c:barChart>
        <c:barDir val="col"/>
        <c:grouping val="clustered"/>
        <c:varyColors val="0"/>
        <c:ser>
          <c:idx val="0"/>
          <c:order val="0"/>
          <c:tx>
            <c:strRef>
              <c:f>'[ÚJ INDIKÁTORTÁBLA adatokkal feltöltve 220613.xlsx]Település Bemutatása - Népesség'!$Q$2</c:f>
              <c:strCache>
                <c:ptCount val="1"/>
                <c:pt idx="0">
                  <c:v>
Öregedési index
% 
(TS 030)</c:v>
                </c:pt>
              </c:strCache>
            </c:strRef>
          </c:tx>
          <c:invertIfNegative val="0"/>
          <c:cat>
            <c:numRef>
              <c:f>'[ÚJ INDIKÁTORTÁBLA adatokkal feltöltve 220613.xlsx]6. Idősek'!$B$3:$B$8</c:f>
              <c:numCache>
                <c:formatCode>General</c:formatCode>
                <c:ptCount val="6"/>
                <c:pt idx="0">
                  <c:v>2015</c:v>
                </c:pt>
                <c:pt idx="1">
                  <c:v>2016</c:v>
                </c:pt>
                <c:pt idx="2">
                  <c:v>2017</c:v>
                </c:pt>
                <c:pt idx="3">
                  <c:v>2018</c:v>
                </c:pt>
                <c:pt idx="4">
                  <c:v>2019</c:v>
                </c:pt>
                <c:pt idx="5">
                  <c:v>2020</c:v>
                </c:pt>
              </c:numCache>
            </c:numRef>
          </c:cat>
          <c:val>
            <c:numRef>
              <c:f>'[ÚJ INDIKÁTORTÁBLA adatokkal feltöltve 220613.xlsx]Település Bemutatása - Népesség'!$Q$3:$Q$8</c:f>
              <c:numCache>
                <c:formatCode>0.00%</c:formatCode>
                <c:ptCount val="6"/>
                <c:pt idx="0">
                  <c:v>1.7173913043478262</c:v>
                </c:pt>
                <c:pt idx="1">
                  <c:v>1.6688417618270799</c:v>
                </c:pt>
                <c:pt idx="2">
                  <c:v>1.6028481012658229</c:v>
                </c:pt>
                <c:pt idx="3">
                  <c:v>1.735593220338983</c:v>
                </c:pt>
                <c:pt idx="4">
                  <c:v>1.7607573149741824</c:v>
                </c:pt>
                <c:pt idx="5">
                  <c:v>0</c:v>
                </c:pt>
              </c:numCache>
            </c:numRef>
          </c:val>
          <c:extLst>
            <c:ext xmlns:c16="http://schemas.microsoft.com/office/drawing/2014/chart" uri="{C3380CC4-5D6E-409C-BE32-E72D297353CC}">
              <c16:uniqueId val="{00000000-1E86-4CB9-91C9-6CCAFF116EB6}"/>
            </c:ext>
          </c:extLst>
        </c:ser>
        <c:dLbls>
          <c:showLegendKey val="0"/>
          <c:showVal val="0"/>
          <c:showCatName val="0"/>
          <c:showSerName val="0"/>
          <c:showPercent val="0"/>
          <c:showBubbleSize val="0"/>
        </c:dLbls>
        <c:gapWidth val="150"/>
        <c:axId val="827858864"/>
        <c:axId val="827863760"/>
      </c:barChart>
      <c:catAx>
        <c:axId val="827858864"/>
        <c:scaling>
          <c:orientation val="minMax"/>
        </c:scaling>
        <c:delete val="0"/>
        <c:axPos val="b"/>
        <c:numFmt formatCode="General" sourceLinked="1"/>
        <c:majorTickMark val="out"/>
        <c:minorTickMark val="none"/>
        <c:tickLblPos val="nextTo"/>
        <c:crossAx val="827863760"/>
        <c:crosses val="autoZero"/>
        <c:auto val="1"/>
        <c:lblAlgn val="ctr"/>
        <c:lblOffset val="100"/>
        <c:noMultiLvlLbl val="0"/>
      </c:catAx>
      <c:valAx>
        <c:axId val="827863760"/>
        <c:scaling>
          <c:orientation val="minMax"/>
        </c:scaling>
        <c:delete val="0"/>
        <c:axPos val="l"/>
        <c:majorGridlines/>
        <c:numFmt formatCode="0%" sourceLinked="0"/>
        <c:majorTickMark val="out"/>
        <c:minorTickMark val="none"/>
        <c:tickLblPos val="nextTo"/>
        <c:crossAx val="827858864"/>
        <c:crosses val="autoZero"/>
        <c:crossBetween val="between"/>
      </c:valAx>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hu-HU" sz="1200" b="1">
                <a:solidFill>
                  <a:sysClr val="windowText" lastClr="000000"/>
                </a:solidFill>
              </a:rPr>
              <a:t>Nyugdíjasok</a:t>
            </a:r>
            <a:r>
              <a:rPr lang="hu-HU" sz="1200" b="1" baseline="0">
                <a:solidFill>
                  <a:sysClr val="windowText" lastClr="000000"/>
                </a:solidFill>
              </a:rPr>
              <a:t> száma</a:t>
            </a:r>
            <a:endParaRPr lang="hu-HU" sz="1200"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cat>
            <c:numRef>
              <c:f>'[ÚJ INDIKÁTORTÁBLA adatokkal feltöltve 220613.xlsx]6. Idősek'!$G$3:$G$8</c:f>
              <c:numCache>
                <c:formatCode>General</c:formatCode>
                <c:ptCount val="6"/>
                <c:pt idx="0">
                  <c:v>2015</c:v>
                </c:pt>
                <c:pt idx="1">
                  <c:v>2016</c:v>
                </c:pt>
                <c:pt idx="2">
                  <c:v>2017</c:v>
                </c:pt>
                <c:pt idx="3">
                  <c:v>2018</c:v>
                </c:pt>
                <c:pt idx="4">
                  <c:v>2019</c:v>
                </c:pt>
                <c:pt idx="5">
                  <c:v>2020</c:v>
                </c:pt>
              </c:numCache>
            </c:numRef>
          </c:cat>
          <c:val>
            <c:numRef>
              <c:f>'[ÚJ INDIKÁTORTÁBLA adatokkal feltöltve 220613.xlsx]6. Idősek'!$J$3:$J$8</c:f>
              <c:numCache>
                <c:formatCode>0</c:formatCode>
                <c:ptCount val="6"/>
                <c:pt idx="0">
                  <c:v>1561</c:v>
                </c:pt>
                <c:pt idx="1">
                  <c:v>1533</c:v>
                </c:pt>
                <c:pt idx="2">
                  <c:v>1495</c:v>
                </c:pt>
                <c:pt idx="3">
                  <c:v>1471</c:v>
                </c:pt>
                <c:pt idx="4">
                  <c:v>1444</c:v>
                </c:pt>
                <c:pt idx="5">
                  <c:v>0</c:v>
                </c:pt>
              </c:numCache>
            </c:numRef>
          </c:val>
          <c:extLst>
            <c:ext xmlns:c16="http://schemas.microsoft.com/office/drawing/2014/chart" uri="{C3380CC4-5D6E-409C-BE32-E72D297353CC}">
              <c16:uniqueId val="{00000000-0BC7-42A8-BF8B-DA760A6DB687}"/>
            </c:ext>
          </c:extLst>
        </c:ser>
        <c:dLbls>
          <c:showLegendKey val="0"/>
          <c:showVal val="0"/>
          <c:showCatName val="0"/>
          <c:showSerName val="0"/>
          <c:showPercent val="0"/>
          <c:showBubbleSize val="0"/>
        </c:dLbls>
        <c:gapWidth val="219"/>
        <c:overlap val="-27"/>
        <c:axId val="827857232"/>
        <c:axId val="827862672"/>
      </c:barChart>
      <c:catAx>
        <c:axId val="82785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7862672"/>
        <c:crosses val="autoZero"/>
        <c:auto val="1"/>
        <c:lblAlgn val="ctr"/>
        <c:lblOffset val="100"/>
        <c:noMultiLvlLbl val="0"/>
      </c:catAx>
      <c:valAx>
        <c:axId val="827862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7857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98"/>
              <a:t>Öregedési index (%)</a:t>
            </a:r>
          </a:p>
        </c:rich>
      </c:tx>
      <c:layout/>
      <c:overlay val="0"/>
    </c:title>
    <c:autoTitleDeleted val="0"/>
    <c:plotArea>
      <c:layout/>
      <c:barChart>
        <c:barDir val="col"/>
        <c:grouping val="clustered"/>
        <c:varyColors val="0"/>
        <c:ser>
          <c:idx val="0"/>
          <c:order val="0"/>
          <c:tx>
            <c:strRef>
              <c:f>'Település Bemutatása - Népesség'!$Q$2</c:f>
              <c:strCache>
                <c:ptCount val="1"/>
                <c:pt idx="0">
                  <c:v>
Öregedési index
% 
(TS 030)</c:v>
                </c:pt>
              </c:strCache>
            </c:strRef>
          </c:tx>
          <c:invertIfNegative val="0"/>
          <c:cat>
            <c:numRef>
              <c:f>'Település Bemutatása - Népesség'!$N$3:$N$8</c:f>
              <c:numCache>
                <c:formatCode>General</c:formatCode>
                <c:ptCount val="6"/>
                <c:pt idx="0">
                  <c:v>2015</c:v>
                </c:pt>
                <c:pt idx="1">
                  <c:v>2016</c:v>
                </c:pt>
                <c:pt idx="2">
                  <c:v>2017</c:v>
                </c:pt>
                <c:pt idx="3">
                  <c:v>2018</c:v>
                </c:pt>
                <c:pt idx="4">
                  <c:v>2019</c:v>
                </c:pt>
                <c:pt idx="5">
                  <c:v>2020</c:v>
                </c:pt>
              </c:numCache>
            </c:numRef>
          </c:cat>
          <c:val>
            <c:numRef>
              <c:f>'Település Bemutatása - Népesség'!$Q$3:$Q$8</c:f>
              <c:numCache>
                <c:formatCode>#,000%</c:formatCode>
                <c:ptCount val="6"/>
                <c:pt idx="0">
                  <c:v>1.7173913043478262</c:v>
                </c:pt>
                <c:pt idx="1">
                  <c:v>1.6688417618270799</c:v>
                </c:pt>
                <c:pt idx="2">
                  <c:v>1.6028481012658229</c:v>
                </c:pt>
                <c:pt idx="3">
                  <c:v>1.735593220338983</c:v>
                </c:pt>
                <c:pt idx="4">
                  <c:v>1.7607573149741824</c:v>
                </c:pt>
                <c:pt idx="5">
                  <c:v>0</c:v>
                </c:pt>
              </c:numCache>
            </c:numRef>
          </c:val>
          <c:extLst>
            <c:ext xmlns:c16="http://schemas.microsoft.com/office/drawing/2014/chart" uri="{C3380CC4-5D6E-409C-BE32-E72D297353CC}">
              <c16:uniqueId val="{00000000-4048-4785-BD10-A57ADE984995}"/>
            </c:ext>
          </c:extLst>
        </c:ser>
        <c:dLbls>
          <c:showLegendKey val="0"/>
          <c:showVal val="0"/>
          <c:showCatName val="0"/>
          <c:showSerName val="0"/>
          <c:showPercent val="0"/>
          <c:showBubbleSize val="0"/>
        </c:dLbls>
        <c:gapWidth val="150"/>
        <c:axId val="1374683232"/>
        <c:axId val="1"/>
      </c:barChart>
      <c:catAx>
        <c:axId val="1374683232"/>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0%" sourceLinked="0"/>
        <c:majorTickMark val="out"/>
        <c:minorTickMark val="none"/>
        <c:tickLblPos val="nextTo"/>
        <c:crossAx val="1374683232"/>
        <c:crosses val="autoZero"/>
        <c:crossBetween val="between"/>
      </c:valAx>
    </c:plotArea>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hu-HU" sz="1200" b="1">
                <a:solidFill>
                  <a:sysClr val="windowText" lastClr="000000"/>
                </a:solidFill>
              </a:rPr>
              <a:t>Életkoron alapuló ellátás nemek szerint</a:t>
            </a:r>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hu-HU"/>
        </a:p>
      </c:txPr>
    </c:title>
    <c:autoTitleDeleted val="0"/>
    <c:plotArea>
      <c:layout/>
      <c:barChart>
        <c:barDir val="col"/>
        <c:grouping val="stacked"/>
        <c:varyColors val="0"/>
        <c:ser>
          <c:idx val="0"/>
          <c:order val="0"/>
          <c:tx>
            <c:v>Férfiak</c:v>
          </c:tx>
          <c:spPr>
            <a:solidFill>
              <a:schemeClr val="accent1"/>
            </a:solidFill>
            <a:ln>
              <a:noFill/>
            </a:ln>
            <a:effectLst/>
          </c:spPr>
          <c:invertIfNegative val="0"/>
          <c:cat>
            <c:numRef>
              <c:f>'[ÚJ INDIKÁTORTÁBLA adatokkal feltöltve 220613.xlsx]6. Idősek'!$L$3:$L$8</c:f>
              <c:numCache>
                <c:formatCode>General</c:formatCode>
                <c:ptCount val="6"/>
                <c:pt idx="0">
                  <c:v>2015</c:v>
                </c:pt>
                <c:pt idx="1">
                  <c:v>2016</c:v>
                </c:pt>
                <c:pt idx="2">
                  <c:v>2017</c:v>
                </c:pt>
                <c:pt idx="3">
                  <c:v>2018</c:v>
                </c:pt>
                <c:pt idx="4">
                  <c:v>2019</c:v>
                </c:pt>
                <c:pt idx="5">
                  <c:v>2020</c:v>
                </c:pt>
              </c:numCache>
            </c:numRef>
          </c:cat>
          <c:val>
            <c:numRef>
              <c:f>'[ÚJ INDIKÁTORTÁBLA adatokkal feltöltve 220613.xlsx]6. Idősek'!$M$3:$M$8</c:f>
              <c:numCache>
                <c:formatCode>0</c:formatCode>
                <c:ptCount val="6"/>
                <c:pt idx="0">
                  <c:v>18</c:v>
                </c:pt>
                <c:pt idx="1">
                  <c:v>18</c:v>
                </c:pt>
                <c:pt idx="2">
                  <c:v>22</c:v>
                </c:pt>
                <c:pt idx="3">
                  <c:v>20</c:v>
                </c:pt>
                <c:pt idx="4">
                  <c:v>14</c:v>
                </c:pt>
                <c:pt idx="5">
                  <c:v>0</c:v>
                </c:pt>
              </c:numCache>
            </c:numRef>
          </c:val>
          <c:extLst>
            <c:ext xmlns:c16="http://schemas.microsoft.com/office/drawing/2014/chart" uri="{C3380CC4-5D6E-409C-BE32-E72D297353CC}">
              <c16:uniqueId val="{00000000-B627-447F-AA5B-FF3E0B8F2253}"/>
            </c:ext>
          </c:extLst>
        </c:ser>
        <c:ser>
          <c:idx val="1"/>
          <c:order val="1"/>
          <c:tx>
            <c:v>Nők</c:v>
          </c:tx>
          <c:spPr>
            <a:solidFill>
              <a:schemeClr val="accent2"/>
            </a:solidFill>
            <a:ln>
              <a:noFill/>
            </a:ln>
            <a:effectLst/>
          </c:spPr>
          <c:invertIfNegative val="0"/>
          <c:cat>
            <c:numRef>
              <c:f>'[ÚJ INDIKÁTORTÁBLA adatokkal feltöltve 220613.xlsx]6. Idősek'!$L$3:$L$8</c:f>
              <c:numCache>
                <c:formatCode>General</c:formatCode>
                <c:ptCount val="6"/>
                <c:pt idx="0">
                  <c:v>2015</c:v>
                </c:pt>
                <c:pt idx="1">
                  <c:v>2016</c:v>
                </c:pt>
                <c:pt idx="2">
                  <c:v>2017</c:v>
                </c:pt>
                <c:pt idx="3">
                  <c:v>2018</c:v>
                </c:pt>
                <c:pt idx="4">
                  <c:v>2019</c:v>
                </c:pt>
                <c:pt idx="5">
                  <c:v>2020</c:v>
                </c:pt>
              </c:numCache>
            </c:numRef>
          </c:cat>
          <c:val>
            <c:numRef>
              <c:f>'[ÚJ INDIKÁTORTÁBLA adatokkal feltöltve 220613.xlsx]6. Idősek'!$N$3:$N$8</c:f>
              <c:numCache>
                <c:formatCode>0</c:formatCode>
                <c:ptCount val="6"/>
                <c:pt idx="0">
                  <c:v>3</c:v>
                </c:pt>
                <c:pt idx="1">
                  <c:v>0</c:v>
                </c:pt>
                <c:pt idx="2">
                  <c:v>0</c:v>
                </c:pt>
                <c:pt idx="3">
                  <c:v>0</c:v>
                </c:pt>
                <c:pt idx="4">
                  <c:v>0</c:v>
                </c:pt>
                <c:pt idx="5">
                  <c:v>0</c:v>
                </c:pt>
              </c:numCache>
            </c:numRef>
          </c:val>
          <c:extLst>
            <c:ext xmlns:c16="http://schemas.microsoft.com/office/drawing/2014/chart" uri="{C3380CC4-5D6E-409C-BE32-E72D297353CC}">
              <c16:uniqueId val="{00000001-B627-447F-AA5B-FF3E0B8F2253}"/>
            </c:ext>
          </c:extLst>
        </c:ser>
        <c:dLbls>
          <c:showLegendKey val="0"/>
          <c:showVal val="0"/>
          <c:showCatName val="0"/>
          <c:showSerName val="0"/>
          <c:showPercent val="0"/>
          <c:showBubbleSize val="0"/>
        </c:dLbls>
        <c:gapWidth val="150"/>
        <c:overlap val="100"/>
        <c:axId val="827861040"/>
        <c:axId val="827864848"/>
      </c:barChart>
      <c:catAx>
        <c:axId val="82786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7864848"/>
        <c:crosses val="autoZero"/>
        <c:auto val="1"/>
        <c:lblAlgn val="ctr"/>
        <c:lblOffset val="100"/>
        <c:noMultiLvlLbl val="0"/>
      </c:catAx>
      <c:valAx>
        <c:axId val="827864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78610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i="0" baseline="0">
                <a:solidFill>
                  <a:sysClr val="windowText" lastClr="000000"/>
                </a:solidFill>
                <a:effectLst/>
              </a:rPr>
              <a:t>Öregségi nyugdíjban részesülők nemek szerint</a:t>
            </a:r>
            <a:endParaRPr lang="hu-HU" sz="1050">
              <a:solidFill>
                <a:sysClr val="windowText" lastClr="000000"/>
              </a:solidFill>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stacked"/>
        <c:varyColors val="0"/>
        <c:ser>
          <c:idx val="0"/>
          <c:order val="0"/>
          <c:tx>
            <c:v>Férfiak</c:v>
          </c:tx>
          <c:spPr>
            <a:solidFill>
              <a:schemeClr val="accent1"/>
            </a:solidFill>
            <a:ln>
              <a:noFill/>
            </a:ln>
            <a:effectLst/>
          </c:spPr>
          <c:invertIfNegative val="0"/>
          <c:cat>
            <c:numRef>
              <c:f>'[ÚJ INDIKÁTORTÁBLA adatokkal feltöltve 220613.xlsx]6. Idősek'!$L$3:$L$8</c:f>
              <c:numCache>
                <c:formatCode>General</c:formatCode>
                <c:ptCount val="6"/>
                <c:pt idx="0">
                  <c:v>2015</c:v>
                </c:pt>
                <c:pt idx="1">
                  <c:v>2016</c:v>
                </c:pt>
                <c:pt idx="2">
                  <c:v>2017</c:v>
                </c:pt>
                <c:pt idx="3">
                  <c:v>2018</c:v>
                </c:pt>
                <c:pt idx="4">
                  <c:v>2019</c:v>
                </c:pt>
                <c:pt idx="5">
                  <c:v>2020</c:v>
                </c:pt>
              </c:numCache>
            </c:numRef>
          </c:cat>
          <c:val>
            <c:numRef>
              <c:f>'[ÚJ INDIKÁTORTÁBLA adatokkal feltöltve 220613.xlsx]6. Idősek'!$O$3:$O$8</c:f>
              <c:numCache>
                <c:formatCode>0</c:formatCode>
                <c:ptCount val="6"/>
                <c:pt idx="0">
                  <c:v>408</c:v>
                </c:pt>
                <c:pt idx="1">
                  <c:v>395</c:v>
                </c:pt>
                <c:pt idx="2">
                  <c:v>380</c:v>
                </c:pt>
                <c:pt idx="3">
                  <c:v>376</c:v>
                </c:pt>
                <c:pt idx="4">
                  <c:v>391</c:v>
                </c:pt>
                <c:pt idx="5">
                  <c:v>0</c:v>
                </c:pt>
              </c:numCache>
            </c:numRef>
          </c:val>
          <c:extLst>
            <c:ext xmlns:c16="http://schemas.microsoft.com/office/drawing/2014/chart" uri="{C3380CC4-5D6E-409C-BE32-E72D297353CC}">
              <c16:uniqueId val="{00000000-C909-4A84-AC64-C5AAAF29E2E1}"/>
            </c:ext>
          </c:extLst>
        </c:ser>
        <c:ser>
          <c:idx val="1"/>
          <c:order val="1"/>
          <c:tx>
            <c:v>Nők</c:v>
          </c:tx>
          <c:spPr>
            <a:solidFill>
              <a:schemeClr val="accent2"/>
            </a:solidFill>
            <a:ln>
              <a:noFill/>
            </a:ln>
            <a:effectLst/>
          </c:spPr>
          <c:invertIfNegative val="0"/>
          <c:cat>
            <c:numRef>
              <c:f>'[ÚJ INDIKÁTORTÁBLA adatokkal feltöltve 220613.xlsx]6. Idősek'!$L$3:$L$8</c:f>
              <c:numCache>
                <c:formatCode>General</c:formatCode>
                <c:ptCount val="6"/>
                <c:pt idx="0">
                  <c:v>2015</c:v>
                </c:pt>
                <c:pt idx="1">
                  <c:v>2016</c:v>
                </c:pt>
                <c:pt idx="2">
                  <c:v>2017</c:v>
                </c:pt>
                <c:pt idx="3">
                  <c:v>2018</c:v>
                </c:pt>
                <c:pt idx="4">
                  <c:v>2019</c:v>
                </c:pt>
                <c:pt idx="5">
                  <c:v>2020</c:v>
                </c:pt>
              </c:numCache>
            </c:numRef>
          </c:cat>
          <c:val>
            <c:numRef>
              <c:f>'[ÚJ INDIKÁTORTÁBLA adatokkal feltöltve 220613.xlsx]6. Idősek'!$P$3:$P$8</c:f>
              <c:numCache>
                <c:formatCode>0</c:formatCode>
                <c:ptCount val="6"/>
                <c:pt idx="0">
                  <c:v>653</c:v>
                </c:pt>
                <c:pt idx="1">
                  <c:v>662</c:v>
                </c:pt>
                <c:pt idx="2">
                  <c:v>657</c:v>
                </c:pt>
                <c:pt idx="3">
                  <c:v>662</c:v>
                </c:pt>
                <c:pt idx="4">
                  <c:v>662</c:v>
                </c:pt>
                <c:pt idx="5">
                  <c:v>0</c:v>
                </c:pt>
              </c:numCache>
            </c:numRef>
          </c:val>
          <c:extLst>
            <c:ext xmlns:c16="http://schemas.microsoft.com/office/drawing/2014/chart" uri="{C3380CC4-5D6E-409C-BE32-E72D297353CC}">
              <c16:uniqueId val="{00000001-C909-4A84-AC64-C5AAAF29E2E1}"/>
            </c:ext>
          </c:extLst>
        </c:ser>
        <c:dLbls>
          <c:showLegendKey val="0"/>
          <c:showVal val="0"/>
          <c:showCatName val="0"/>
          <c:showSerName val="0"/>
          <c:showPercent val="0"/>
          <c:showBubbleSize val="0"/>
        </c:dLbls>
        <c:gapWidth val="219"/>
        <c:overlap val="100"/>
        <c:axId val="827852880"/>
        <c:axId val="827859952"/>
      </c:barChart>
      <c:catAx>
        <c:axId val="82785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7859952"/>
        <c:crosses val="autoZero"/>
        <c:auto val="1"/>
        <c:lblAlgn val="ctr"/>
        <c:lblOffset val="100"/>
        <c:noMultiLvlLbl val="0"/>
      </c:catAx>
      <c:valAx>
        <c:axId val="827859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78528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ysClr val="windowText" lastClr="000000"/>
                </a:solidFill>
              </a:rPr>
              <a:t>Özvegységi nyugdíjban</a:t>
            </a:r>
            <a:r>
              <a:rPr lang="hu-HU" sz="1200" b="1" baseline="0">
                <a:solidFill>
                  <a:sysClr val="windowText" lastClr="000000"/>
                </a:solidFill>
              </a:rPr>
              <a:t> részesülők nemek szerint</a:t>
            </a:r>
            <a:endParaRPr lang="hu-HU" sz="1200"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stacked"/>
        <c:varyColors val="0"/>
        <c:ser>
          <c:idx val="0"/>
          <c:order val="0"/>
          <c:tx>
            <c:v>Férfiak</c:v>
          </c:tx>
          <c:spPr>
            <a:solidFill>
              <a:schemeClr val="accent1"/>
            </a:solidFill>
            <a:ln>
              <a:noFill/>
            </a:ln>
            <a:effectLst/>
          </c:spPr>
          <c:invertIfNegative val="0"/>
          <c:cat>
            <c:numRef>
              <c:f>'[ÚJ INDIKÁTORTÁBLA adatokkal feltöltve 220613.xlsx]6. Idősek'!$L$3:$L$8</c:f>
              <c:numCache>
                <c:formatCode>General</c:formatCode>
                <c:ptCount val="6"/>
                <c:pt idx="0">
                  <c:v>2015</c:v>
                </c:pt>
                <c:pt idx="1">
                  <c:v>2016</c:v>
                </c:pt>
                <c:pt idx="2">
                  <c:v>2017</c:v>
                </c:pt>
                <c:pt idx="3">
                  <c:v>2018</c:v>
                </c:pt>
                <c:pt idx="4">
                  <c:v>2019</c:v>
                </c:pt>
                <c:pt idx="5">
                  <c:v>2020</c:v>
                </c:pt>
              </c:numCache>
            </c:numRef>
          </c:cat>
          <c:val>
            <c:numRef>
              <c:f>'[ÚJ INDIKÁTORTÁBLA adatokkal feltöltve 220613.xlsx]6. Idősek'!$Q$3:$Q$8</c:f>
              <c:numCache>
                <c:formatCode>0</c:formatCode>
                <c:ptCount val="6"/>
                <c:pt idx="0">
                  <c:v>1</c:v>
                </c:pt>
                <c:pt idx="1">
                  <c:v>0</c:v>
                </c:pt>
                <c:pt idx="2">
                  <c:v>2</c:v>
                </c:pt>
                <c:pt idx="3">
                  <c:v>3</c:v>
                </c:pt>
                <c:pt idx="4">
                  <c:v>3</c:v>
                </c:pt>
                <c:pt idx="5">
                  <c:v>0</c:v>
                </c:pt>
              </c:numCache>
            </c:numRef>
          </c:val>
          <c:extLst>
            <c:ext xmlns:c16="http://schemas.microsoft.com/office/drawing/2014/chart" uri="{C3380CC4-5D6E-409C-BE32-E72D297353CC}">
              <c16:uniqueId val="{00000000-D702-442A-9C17-B97CC8A2755B}"/>
            </c:ext>
          </c:extLst>
        </c:ser>
        <c:ser>
          <c:idx val="1"/>
          <c:order val="1"/>
          <c:tx>
            <c:v>Nők</c:v>
          </c:tx>
          <c:spPr>
            <a:solidFill>
              <a:schemeClr val="accent2"/>
            </a:solidFill>
            <a:ln>
              <a:noFill/>
            </a:ln>
            <a:effectLst/>
          </c:spPr>
          <c:invertIfNegative val="0"/>
          <c:cat>
            <c:numRef>
              <c:f>'[ÚJ INDIKÁTORTÁBLA adatokkal feltöltve 220613.xlsx]6. Idősek'!$L$3:$L$8</c:f>
              <c:numCache>
                <c:formatCode>General</c:formatCode>
                <c:ptCount val="6"/>
                <c:pt idx="0">
                  <c:v>2015</c:v>
                </c:pt>
                <c:pt idx="1">
                  <c:v>2016</c:v>
                </c:pt>
                <c:pt idx="2">
                  <c:v>2017</c:v>
                </c:pt>
                <c:pt idx="3">
                  <c:v>2018</c:v>
                </c:pt>
                <c:pt idx="4">
                  <c:v>2019</c:v>
                </c:pt>
                <c:pt idx="5">
                  <c:v>2020</c:v>
                </c:pt>
              </c:numCache>
            </c:numRef>
          </c:cat>
          <c:val>
            <c:numRef>
              <c:f>'[ÚJ INDIKÁTORTÁBLA adatokkal feltöltve 220613.xlsx]6. Idősek'!$R$3:$R$8</c:f>
              <c:numCache>
                <c:formatCode>0</c:formatCode>
                <c:ptCount val="6"/>
                <c:pt idx="0">
                  <c:v>70</c:v>
                </c:pt>
                <c:pt idx="1">
                  <c:v>65</c:v>
                </c:pt>
                <c:pt idx="2">
                  <c:v>56</c:v>
                </c:pt>
                <c:pt idx="3">
                  <c:v>52</c:v>
                </c:pt>
                <c:pt idx="4">
                  <c:v>45</c:v>
                </c:pt>
                <c:pt idx="5">
                  <c:v>0</c:v>
                </c:pt>
              </c:numCache>
            </c:numRef>
          </c:val>
          <c:extLst>
            <c:ext xmlns:c16="http://schemas.microsoft.com/office/drawing/2014/chart" uri="{C3380CC4-5D6E-409C-BE32-E72D297353CC}">
              <c16:uniqueId val="{00000001-D702-442A-9C17-B97CC8A2755B}"/>
            </c:ext>
          </c:extLst>
        </c:ser>
        <c:dLbls>
          <c:showLegendKey val="0"/>
          <c:showVal val="0"/>
          <c:showCatName val="0"/>
          <c:showSerName val="0"/>
          <c:showPercent val="0"/>
          <c:showBubbleSize val="0"/>
        </c:dLbls>
        <c:gapWidth val="219"/>
        <c:overlap val="100"/>
        <c:axId val="827853968"/>
        <c:axId val="827864304"/>
      </c:barChart>
      <c:catAx>
        <c:axId val="82785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7864304"/>
        <c:crosses val="autoZero"/>
        <c:auto val="1"/>
        <c:lblAlgn val="ctr"/>
        <c:lblOffset val="100"/>
        <c:noMultiLvlLbl val="0"/>
      </c:catAx>
      <c:valAx>
        <c:axId val="827864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78539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Ellátások</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Nappali ellátás</c:v>
          </c:tx>
          <c:spPr>
            <a:solidFill>
              <a:schemeClr val="accent1"/>
            </a:solidFill>
            <a:ln>
              <a:noFill/>
            </a:ln>
            <a:effectLst/>
            <a:sp3d/>
          </c:spPr>
          <c:invertIfNegative val="0"/>
          <c:cat>
            <c:numRef>
              <c:f>'[ÚJ INDIKÁTORTÁBLA adatokkal feltöltve 220613.xlsx]6. Idősek'!$AJ$4:$AJ$9</c:f>
              <c:numCache>
                <c:formatCode>General</c:formatCode>
                <c:ptCount val="6"/>
                <c:pt idx="0">
                  <c:v>2015</c:v>
                </c:pt>
                <c:pt idx="1">
                  <c:v>2016</c:v>
                </c:pt>
                <c:pt idx="2">
                  <c:v>2017</c:v>
                </c:pt>
                <c:pt idx="3">
                  <c:v>2018</c:v>
                </c:pt>
                <c:pt idx="4">
                  <c:v>2019</c:v>
                </c:pt>
                <c:pt idx="5">
                  <c:v>2020</c:v>
                </c:pt>
              </c:numCache>
            </c:numRef>
          </c:cat>
          <c:val>
            <c:numRef>
              <c:f>'[ÚJ INDIKÁTORTÁBLA adatokkal feltöltve 220613.xlsx]6. Idősek'!$AL$4:$AL$9</c:f>
              <c:numCache>
                <c:formatCode>0</c:formatCode>
                <c:ptCount val="6"/>
                <c:pt idx="0">
                  <c:v>0</c:v>
                </c:pt>
                <c:pt idx="1">
                  <c:v>0</c:v>
                </c:pt>
                <c:pt idx="2">
                  <c:v>0</c:v>
                </c:pt>
                <c:pt idx="3">
                  <c:v>14</c:v>
                </c:pt>
                <c:pt idx="4">
                  <c:v>12</c:v>
                </c:pt>
                <c:pt idx="5">
                  <c:v>0</c:v>
                </c:pt>
              </c:numCache>
            </c:numRef>
          </c:val>
          <c:extLst>
            <c:ext xmlns:c16="http://schemas.microsoft.com/office/drawing/2014/chart" uri="{C3380CC4-5D6E-409C-BE32-E72D297353CC}">
              <c16:uniqueId val="{00000000-D3A9-4452-B4AD-F47B4F01B801}"/>
            </c:ext>
          </c:extLst>
        </c:ser>
        <c:ser>
          <c:idx val="1"/>
          <c:order val="1"/>
          <c:tx>
            <c:v>Házi segítségnyújtás</c:v>
          </c:tx>
          <c:spPr>
            <a:solidFill>
              <a:schemeClr val="accent2"/>
            </a:solidFill>
            <a:ln>
              <a:noFill/>
            </a:ln>
            <a:effectLst/>
            <a:sp3d/>
          </c:spPr>
          <c:invertIfNegative val="0"/>
          <c:cat>
            <c:numRef>
              <c:f>'[ÚJ INDIKÁTORTÁBLA adatokkal feltöltve 220613.xlsx]6. Idősek'!$AJ$4:$AJ$9</c:f>
              <c:numCache>
                <c:formatCode>General</c:formatCode>
                <c:ptCount val="6"/>
                <c:pt idx="0">
                  <c:v>2015</c:v>
                </c:pt>
                <c:pt idx="1">
                  <c:v>2016</c:v>
                </c:pt>
                <c:pt idx="2">
                  <c:v>2017</c:v>
                </c:pt>
                <c:pt idx="3">
                  <c:v>2018</c:v>
                </c:pt>
                <c:pt idx="4">
                  <c:v>2019</c:v>
                </c:pt>
                <c:pt idx="5">
                  <c:v>2020</c:v>
                </c:pt>
              </c:numCache>
            </c:numRef>
          </c:cat>
          <c:val>
            <c:numRef>
              <c:f>'[ÚJ INDIKÁTORTÁBLA adatokkal feltöltve 220613.xlsx]6. Idősek'!$AM$4:$AM$9</c:f>
              <c:numCache>
                <c:formatCode>0</c:formatCode>
                <c:ptCount val="6"/>
                <c:pt idx="0">
                  <c:v>182</c:v>
                </c:pt>
                <c:pt idx="1">
                  <c:v>166</c:v>
                </c:pt>
                <c:pt idx="2">
                  <c:v>148</c:v>
                </c:pt>
                <c:pt idx="3">
                  <c:v>129</c:v>
                </c:pt>
                <c:pt idx="4">
                  <c:v>113</c:v>
                </c:pt>
                <c:pt idx="5">
                  <c:v>0</c:v>
                </c:pt>
              </c:numCache>
            </c:numRef>
          </c:val>
          <c:extLst>
            <c:ext xmlns:c16="http://schemas.microsoft.com/office/drawing/2014/chart" uri="{C3380CC4-5D6E-409C-BE32-E72D297353CC}">
              <c16:uniqueId val="{00000001-D3A9-4452-B4AD-F47B4F01B801}"/>
            </c:ext>
          </c:extLst>
        </c:ser>
        <c:ser>
          <c:idx val="2"/>
          <c:order val="2"/>
          <c:tx>
            <c:v>Szociális étkeztetés</c:v>
          </c:tx>
          <c:spPr>
            <a:solidFill>
              <a:schemeClr val="accent3"/>
            </a:solidFill>
            <a:ln>
              <a:noFill/>
            </a:ln>
            <a:effectLst/>
            <a:sp3d/>
          </c:spPr>
          <c:invertIfNegative val="0"/>
          <c:cat>
            <c:numRef>
              <c:f>'[ÚJ INDIKÁTORTÁBLA adatokkal feltöltve 220613.xlsx]6. Idősek'!$AJ$4:$AJ$9</c:f>
              <c:numCache>
                <c:formatCode>General</c:formatCode>
                <c:ptCount val="6"/>
                <c:pt idx="0">
                  <c:v>2015</c:v>
                </c:pt>
                <c:pt idx="1">
                  <c:v>2016</c:v>
                </c:pt>
                <c:pt idx="2">
                  <c:v>2017</c:v>
                </c:pt>
                <c:pt idx="3">
                  <c:v>2018</c:v>
                </c:pt>
                <c:pt idx="4">
                  <c:v>2019</c:v>
                </c:pt>
                <c:pt idx="5">
                  <c:v>2020</c:v>
                </c:pt>
              </c:numCache>
            </c:numRef>
          </c:cat>
          <c:val>
            <c:numRef>
              <c:f>'[ÚJ INDIKÁTORTÁBLA adatokkal feltöltve 220613.xlsx]6. Idősek'!$AN$4:$AN$9</c:f>
              <c:numCache>
                <c:formatCode>0</c:formatCode>
                <c:ptCount val="6"/>
                <c:pt idx="0">
                  <c:v>192</c:v>
                </c:pt>
                <c:pt idx="1">
                  <c:v>189</c:v>
                </c:pt>
                <c:pt idx="2">
                  <c:v>185</c:v>
                </c:pt>
                <c:pt idx="3">
                  <c:v>203</c:v>
                </c:pt>
                <c:pt idx="4">
                  <c:v>197</c:v>
                </c:pt>
                <c:pt idx="5">
                  <c:v>0</c:v>
                </c:pt>
              </c:numCache>
            </c:numRef>
          </c:val>
          <c:extLst>
            <c:ext xmlns:c16="http://schemas.microsoft.com/office/drawing/2014/chart" uri="{C3380CC4-5D6E-409C-BE32-E72D297353CC}">
              <c16:uniqueId val="{00000002-D3A9-4452-B4AD-F47B4F01B801}"/>
            </c:ext>
          </c:extLst>
        </c:ser>
        <c:dLbls>
          <c:showLegendKey val="0"/>
          <c:showVal val="0"/>
          <c:showCatName val="0"/>
          <c:showSerName val="0"/>
          <c:showPercent val="0"/>
          <c:showBubbleSize val="0"/>
        </c:dLbls>
        <c:gapWidth val="150"/>
        <c:shape val="box"/>
        <c:axId val="827854512"/>
        <c:axId val="827860496"/>
        <c:axId val="0"/>
      </c:bar3DChart>
      <c:catAx>
        <c:axId val="827854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7860496"/>
        <c:crosses val="autoZero"/>
        <c:auto val="1"/>
        <c:lblAlgn val="ctr"/>
        <c:lblOffset val="100"/>
        <c:noMultiLvlLbl val="0"/>
      </c:catAx>
      <c:valAx>
        <c:axId val="827860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78545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solidFill>
              </a:rPr>
              <a:t>Állandó oda-, és elvándorlások különbségének 1000 állandó lakosra vetített száma (fő)</a:t>
            </a:r>
          </a:p>
        </c:rich>
      </c:tx>
      <c:layout/>
      <c:overlay val="0"/>
      <c:spPr>
        <a:noFill/>
        <a:ln w="25400">
          <a:noFill/>
        </a:ln>
      </c:spPr>
    </c:title>
    <c:autoTitleDeleted val="0"/>
    <c:plotArea>
      <c:layout/>
      <c:lineChart>
        <c:grouping val="standard"/>
        <c:varyColors val="0"/>
        <c:ser>
          <c:idx val="0"/>
          <c:order val="0"/>
          <c:tx>
            <c:strRef>
              <c:f>'Település Bemutatása - Népesség'!$T$2</c:f>
              <c:strCache>
                <c:ptCount val="1"/>
                <c:pt idx="0">
                  <c:v>Állandó oda-, és elvándorlások különbségének 1000 állandó lakosra vetített száma (fő)
(TS 031)</c:v>
                </c:pt>
              </c:strCache>
            </c:strRef>
          </c:tx>
          <c:spPr>
            <a:ln w="28575" cap="rnd">
              <a:solidFill>
                <a:schemeClr val="accent1"/>
              </a:solidFill>
              <a:round/>
            </a:ln>
            <a:effectLst/>
          </c:spPr>
          <c:marker>
            <c:symbol val="none"/>
          </c:marker>
          <c:cat>
            <c:numRef>
              <c:f>'Település Bemutatása - Népesség'!$S$3:$S$8</c:f>
              <c:numCache>
                <c:formatCode>General</c:formatCode>
                <c:ptCount val="6"/>
                <c:pt idx="0">
                  <c:v>2015</c:v>
                </c:pt>
                <c:pt idx="1">
                  <c:v>2016</c:v>
                </c:pt>
                <c:pt idx="2">
                  <c:v>2017</c:v>
                </c:pt>
                <c:pt idx="3">
                  <c:v>2018</c:v>
                </c:pt>
                <c:pt idx="4">
                  <c:v>2019</c:v>
                </c:pt>
                <c:pt idx="5">
                  <c:v>2020</c:v>
                </c:pt>
              </c:numCache>
            </c:numRef>
          </c:cat>
          <c:val>
            <c:numRef>
              <c:f>'Település Bemutatása - Népesség'!$T$3:$T$8</c:f>
              <c:numCache>
                <c:formatCode>#\ ##,000</c:formatCode>
                <c:ptCount val="6"/>
                <c:pt idx="0">
                  <c:v>-0.62</c:v>
                </c:pt>
                <c:pt idx="1">
                  <c:v>2.52</c:v>
                </c:pt>
                <c:pt idx="2">
                  <c:v>1.9</c:v>
                </c:pt>
                <c:pt idx="3">
                  <c:v>-9.81</c:v>
                </c:pt>
                <c:pt idx="4">
                  <c:v>-5.63</c:v>
                </c:pt>
                <c:pt idx="5">
                  <c:v>0</c:v>
                </c:pt>
              </c:numCache>
            </c:numRef>
          </c:val>
          <c:smooth val="0"/>
          <c:extLst>
            <c:ext xmlns:c16="http://schemas.microsoft.com/office/drawing/2014/chart" uri="{C3380CC4-5D6E-409C-BE32-E72D297353CC}">
              <c16:uniqueId val="{00000000-7589-4BC9-A59E-FCC4C916273A}"/>
            </c:ext>
          </c:extLst>
        </c:ser>
        <c:dLbls>
          <c:showLegendKey val="0"/>
          <c:showVal val="0"/>
          <c:showCatName val="0"/>
          <c:showSerName val="0"/>
          <c:showPercent val="0"/>
          <c:showBubbleSize val="0"/>
        </c:dLbls>
        <c:smooth val="0"/>
        <c:axId val="1359626480"/>
        <c:axId val="1"/>
      </c:lineChart>
      <c:catAx>
        <c:axId val="135962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35962648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hu-HU" sz="1199" b="1">
                <a:solidFill>
                  <a:schemeClr val="tx1"/>
                </a:solidFill>
              </a:rPr>
              <a:t>Az élve születések és halálozások különbözetének 1000 lakosra vetített száma (fő)</a:t>
            </a:r>
          </a:p>
        </c:rich>
      </c:tx>
      <c:layout/>
      <c:overlay val="0"/>
      <c:spPr>
        <a:noFill/>
        <a:ln>
          <a:noFill/>
        </a:ln>
        <a:effectLst/>
      </c:spPr>
    </c:title>
    <c:autoTitleDeleted val="0"/>
    <c:plotArea>
      <c:layout/>
      <c:barChart>
        <c:barDir val="col"/>
        <c:grouping val="clustered"/>
        <c:varyColors val="0"/>
        <c:ser>
          <c:idx val="0"/>
          <c:order val="0"/>
          <c:tx>
            <c:strRef>
              <c:f>'Település Bemutatása - Népesség'!$W$2</c:f>
              <c:strCache>
                <c:ptCount val="1"/>
                <c:pt idx="0">
                  <c:v>Az élve születések és halálozások különbözetének 1000 lakosra vetített száma (fő)
(TS 032)</c:v>
                </c:pt>
              </c:strCache>
            </c:strRef>
          </c:tx>
          <c:spPr>
            <a:solidFill>
              <a:schemeClr val="accent1"/>
            </a:solidFill>
            <a:ln>
              <a:noFill/>
            </a:ln>
            <a:effectLst/>
          </c:spPr>
          <c:invertIfNegative val="0"/>
          <c:cat>
            <c:numRef>
              <c:f>'Település Bemutatása - Népesség'!$V$3:$V$8</c:f>
              <c:numCache>
                <c:formatCode>General</c:formatCode>
                <c:ptCount val="6"/>
                <c:pt idx="0">
                  <c:v>2015</c:v>
                </c:pt>
                <c:pt idx="1">
                  <c:v>2016</c:v>
                </c:pt>
                <c:pt idx="2">
                  <c:v>2017</c:v>
                </c:pt>
                <c:pt idx="3">
                  <c:v>2018</c:v>
                </c:pt>
                <c:pt idx="4">
                  <c:v>2019</c:v>
                </c:pt>
                <c:pt idx="5">
                  <c:v>2020</c:v>
                </c:pt>
              </c:numCache>
            </c:numRef>
          </c:cat>
          <c:val>
            <c:numRef>
              <c:f>'Település Bemutatása - Népesség'!$W$3:$W$8</c:f>
              <c:numCache>
                <c:formatCode>#\ ##,000</c:formatCode>
                <c:ptCount val="6"/>
                <c:pt idx="0">
                  <c:v>-16.559999999999999</c:v>
                </c:pt>
                <c:pt idx="1">
                  <c:v>-10.28</c:v>
                </c:pt>
                <c:pt idx="2">
                  <c:v>-10.14</c:v>
                </c:pt>
                <c:pt idx="3">
                  <c:v>-5.76</c:v>
                </c:pt>
                <c:pt idx="4">
                  <c:v>-13</c:v>
                </c:pt>
                <c:pt idx="5">
                  <c:v>0</c:v>
                </c:pt>
              </c:numCache>
            </c:numRef>
          </c:val>
          <c:extLst>
            <c:ext xmlns:c16="http://schemas.microsoft.com/office/drawing/2014/chart" uri="{C3380CC4-5D6E-409C-BE32-E72D297353CC}">
              <c16:uniqueId val="{00000000-14C8-4EC7-BDD1-3F4DA239C1E3}"/>
            </c:ext>
          </c:extLst>
        </c:ser>
        <c:dLbls>
          <c:showLegendKey val="0"/>
          <c:showVal val="0"/>
          <c:showCatName val="0"/>
          <c:showSerName val="0"/>
          <c:showPercent val="0"/>
          <c:showBubbleSize val="0"/>
        </c:dLbls>
        <c:gapWidth val="219"/>
        <c:overlap val="-27"/>
        <c:axId val="1360385888"/>
        <c:axId val="1"/>
      </c:barChart>
      <c:catAx>
        <c:axId val="1360385888"/>
        <c:scaling>
          <c:orientation val="minMax"/>
        </c:scaling>
        <c:delete val="0"/>
        <c:axPos val="b"/>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9518" cap="flat" cmpd="sng" algn="ctr">
              <a:solidFill>
                <a:schemeClr val="tx1">
                  <a:lumMod val="15000"/>
                  <a:lumOff val="85000"/>
                </a:schemeClr>
              </a:solidFill>
              <a:round/>
            </a:ln>
            <a:effectLst/>
          </c:spPr>
        </c:majorGridlines>
        <c:numFmt formatCode="#\ ##,000"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hu-HU"/>
          </a:p>
        </c:txPr>
        <c:crossAx val="1360385888"/>
        <c:crosses val="autoZero"/>
        <c:crossBetween val="between"/>
      </c:valAx>
      <c:spPr>
        <a:noFill/>
        <a:ln w="25383">
          <a:noFill/>
        </a:ln>
      </c:spPr>
    </c:plotArea>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72" b="0" i="0" u="none" strike="noStrike" kern="1200" spc="0" baseline="0">
                <a:solidFill>
                  <a:schemeClr val="tx1">
                    <a:lumMod val="65000"/>
                    <a:lumOff val="35000"/>
                  </a:schemeClr>
                </a:solidFill>
                <a:latin typeface="+mn-lt"/>
                <a:ea typeface="+mn-ea"/>
                <a:cs typeface="+mn-cs"/>
              </a:defRPr>
            </a:pPr>
            <a:r>
              <a:rPr lang="hu-HU" sz="1177" b="1">
                <a:solidFill>
                  <a:schemeClr val="tx1"/>
                </a:solidFill>
              </a:rPr>
              <a:t>Jövedelmi helyzet (%)</a:t>
            </a:r>
          </a:p>
        </c:rich>
      </c:tx>
      <c:layout/>
      <c:overlay val="0"/>
      <c:spPr>
        <a:noFill/>
        <a:ln w="24883">
          <a:noFill/>
        </a:ln>
      </c:spPr>
    </c:title>
    <c:autoTitleDeleted val="0"/>
    <c:plotArea>
      <c:layout>
        <c:manualLayout>
          <c:layoutTarget val="inner"/>
          <c:xMode val="edge"/>
          <c:yMode val="edge"/>
          <c:x val="0.12648984976920546"/>
          <c:y val="0.13591500443830576"/>
          <c:w val="0.81042059530076038"/>
          <c:h val="0.63982782581292652"/>
        </c:manualLayout>
      </c:layout>
      <c:scatterChart>
        <c:scatterStyle val="lineMarker"/>
        <c:varyColors val="0"/>
        <c:ser>
          <c:idx val="0"/>
          <c:order val="0"/>
          <c:tx>
            <c:v>SZJA adófizetők száma</c:v>
          </c:tx>
          <c:spPr>
            <a:ln w="18672" cap="rnd">
              <a:solidFill>
                <a:schemeClr val="accent1"/>
              </a:solidFill>
              <a:round/>
            </a:ln>
            <a:effectLst/>
          </c:spPr>
          <c:marker>
            <c:symbol val="circle"/>
            <c:size val="4"/>
            <c:spPr>
              <a:solidFill>
                <a:schemeClr val="accent1"/>
              </a:solidFill>
              <a:ln w="9336">
                <a:solidFill>
                  <a:schemeClr val="accent1"/>
                </a:solidFill>
              </a:ln>
              <a:effectLst/>
            </c:spPr>
          </c:marker>
          <c:xVal>
            <c:numRef>
              <c:f>'3. Mélyszegények-Romák'!$A$4:$A$9</c:f>
              <c:numCache>
                <c:formatCode>General</c:formatCode>
                <c:ptCount val="6"/>
                <c:pt idx="0">
                  <c:v>2015</c:v>
                </c:pt>
                <c:pt idx="1">
                  <c:v>2016</c:v>
                </c:pt>
                <c:pt idx="2">
                  <c:v>2017</c:v>
                </c:pt>
                <c:pt idx="3">
                  <c:v>2018</c:v>
                </c:pt>
                <c:pt idx="4">
                  <c:v>2019</c:v>
                </c:pt>
                <c:pt idx="5">
                  <c:v>2020</c:v>
                </c:pt>
              </c:numCache>
            </c:numRef>
          </c:xVal>
          <c:yVal>
            <c:numRef>
              <c:f>'3. Mélyszegények-Romák'!$B$4:$B$9</c:f>
              <c:numCache>
                <c:formatCode>#\ ##,000</c:formatCode>
                <c:ptCount val="6"/>
                <c:pt idx="0">
                  <c:v>48.11</c:v>
                </c:pt>
                <c:pt idx="1">
                  <c:v>51.07</c:v>
                </c:pt>
                <c:pt idx="2">
                  <c:v>50.84</c:v>
                </c:pt>
                <c:pt idx="3">
                  <c:v>52.34</c:v>
                </c:pt>
                <c:pt idx="4">
                  <c:v>52.73</c:v>
                </c:pt>
                <c:pt idx="5">
                  <c:v>0</c:v>
                </c:pt>
              </c:numCache>
            </c:numRef>
          </c:yVal>
          <c:smooth val="0"/>
          <c:extLst>
            <c:ext xmlns:c16="http://schemas.microsoft.com/office/drawing/2014/chart" uri="{C3380CC4-5D6E-409C-BE32-E72D297353CC}">
              <c16:uniqueId val="{00000000-6319-4119-BFF5-A64896612ADF}"/>
            </c:ext>
          </c:extLst>
        </c:ser>
        <c:ser>
          <c:idx val="1"/>
          <c:order val="1"/>
          <c:tx>
            <c:v>SZJA adófizetők közül a 0-1 millió sávba tartozóak</c:v>
          </c:tx>
          <c:spPr>
            <a:ln w="18672" cap="rnd">
              <a:solidFill>
                <a:schemeClr val="accent2"/>
              </a:solidFill>
              <a:round/>
            </a:ln>
            <a:effectLst/>
          </c:spPr>
          <c:marker>
            <c:symbol val="circle"/>
            <c:size val="4"/>
            <c:spPr>
              <a:solidFill>
                <a:schemeClr val="accent2"/>
              </a:solidFill>
              <a:ln w="9336">
                <a:solidFill>
                  <a:schemeClr val="accent2"/>
                </a:solidFill>
              </a:ln>
              <a:effectLst/>
            </c:spPr>
          </c:marker>
          <c:xVal>
            <c:numRef>
              <c:f>'3. Mélyszegények-Romák'!$A$4:$A$9</c:f>
              <c:numCache>
                <c:formatCode>General</c:formatCode>
                <c:ptCount val="6"/>
                <c:pt idx="0">
                  <c:v>2015</c:v>
                </c:pt>
                <c:pt idx="1">
                  <c:v>2016</c:v>
                </c:pt>
                <c:pt idx="2">
                  <c:v>2017</c:v>
                </c:pt>
                <c:pt idx="3">
                  <c:v>2018</c:v>
                </c:pt>
                <c:pt idx="4">
                  <c:v>2019</c:v>
                </c:pt>
                <c:pt idx="5">
                  <c:v>2020</c:v>
                </c:pt>
              </c:numCache>
            </c:numRef>
          </c:xVal>
          <c:yVal>
            <c:numRef>
              <c:f>'3. Mélyszegények-Romák'!$C$4:$C$9</c:f>
              <c:numCache>
                <c:formatCode>#\ ##,000</c:formatCode>
                <c:ptCount val="6"/>
                <c:pt idx="0">
                  <c:v>35.450000000000003</c:v>
                </c:pt>
                <c:pt idx="1">
                  <c:v>34.200000000000003</c:v>
                </c:pt>
                <c:pt idx="2">
                  <c:v>30.51</c:v>
                </c:pt>
                <c:pt idx="3">
                  <c:v>28.12</c:v>
                </c:pt>
                <c:pt idx="4">
                  <c:v>26.27</c:v>
                </c:pt>
                <c:pt idx="5">
                  <c:v>0</c:v>
                </c:pt>
              </c:numCache>
            </c:numRef>
          </c:yVal>
          <c:smooth val="0"/>
          <c:extLst>
            <c:ext xmlns:c16="http://schemas.microsoft.com/office/drawing/2014/chart" uri="{C3380CC4-5D6E-409C-BE32-E72D297353CC}">
              <c16:uniqueId val="{00000001-6319-4119-BFF5-A64896612ADF}"/>
            </c:ext>
          </c:extLst>
        </c:ser>
        <c:dLbls>
          <c:showLegendKey val="0"/>
          <c:showVal val="0"/>
          <c:showCatName val="0"/>
          <c:showSerName val="0"/>
          <c:showPercent val="0"/>
          <c:showBubbleSize val="0"/>
        </c:dLbls>
        <c:axId val="2102229951"/>
        <c:axId val="1"/>
      </c:scatterChart>
      <c:valAx>
        <c:axId val="2102229951"/>
        <c:scaling>
          <c:orientation val="minMax"/>
        </c:scaling>
        <c:delete val="0"/>
        <c:axPos val="b"/>
        <c:majorGridlines>
          <c:spPr>
            <a:ln w="9336"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336" cap="flat" cmpd="sng" algn="ctr">
            <a:solidFill>
              <a:schemeClr val="tx1">
                <a:lumMod val="25000"/>
                <a:lumOff val="75000"/>
              </a:schemeClr>
            </a:solidFill>
            <a:round/>
          </a:ln>
          <a:effectLst/>
        </c:spPr>
        <c:txPr>
          <a:bodyPr rot="0" vert="horz"/>
          <a:lstStyle/>
          <a:p>
            <a:pPr>
              <a:defRPr sz="882" b="0" i="0" u="none" strike="noStrike" baseline="0">
                <a:solidFill>
                  <a:srgbClr val="333333"/>
                </a:solidFill>
                <a:latin typeface="Calibri"/>
                <a:ea typeface="Calibri"/>
                <a:cs typeface="Calibri"/>
              </a:defRPr>
            </a:pPr>
            <a:endParaRPr lang="hu-HU"/>
          </a:p>
        </c:txPr>
        <c:crossAx val="1"/>
        <c:crosses val="autoZero"/>
        <c:crossBetween val="midCat"/>
      </c:valAx>
      <c:valAx>
        <c:axId val="1"/>
        <c:scaling>
          <c:orientation val="minMax"/>
        </c:scaling>
        <c:delete val="0"/>
        <c:axPos val="l"/>
        <c:majorGridlines>
          <c:spPr>
            <a:ln w="9336"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336" cap="flat" cmpd="sng" algn="ctr">
            <a:solidFill>
              <a:schemeClr val="tx1">
                <a:lumMod val="25000"/>
                <a:lumOff val="75000"/>
              </a:schemeClr>
            </a:solidFill>
            <a:round/>
          </a:ln>
          <a:effectLst/>
        </c:spPr>
        <c:txPr>
          <a:bodyPr rot="-60000000" spcFirstLastPara="1" vertOverflow="ellipsis" vert="horz" wrap="square" anchor="ctr" anchorCtr="1"/>
          <a:lstStyle/>
          <a:p>
            <a:pPr>
              <a:defRPr sz="882" b="0" i="0" u="none" strike="noStrike" kern="1200" baseline="0">
                <a:solidFill>
                  <a:schemeClr val="tx1">
                    <a:lumMod val="65000"/>
                    <a:lumOff val="35000"/>
                  </a:schemeClr>
                </a:solidFill>
                <a:latin typeface="+mn-lt"/>
                <a:ea typeface="+mn-ea"/>
                <a:cs typeface="+mn-cs"/>
              </a:defRPr>
            </a:pPr>
            <a:endParaRPr lang="hu-HU"/>
          </a:p>
        </c:txPr>
        <c:crossAx val="2102229951"/>
        <c:crosses val="autoZero"/>
        <c:crossBetween val="midCat"/>
      </c:valAx>
      <c:spPr>
        <a:noFill/>
        <a:ln w="24883">
          <a:noFill/>
        </a:ln>
      </c:spPr>
    </c:plotArea>
    <c:legend>
      <c:legendPos val="b"/>
      <c:layout>
        <c:manualLayout>
          <c:xMode val="edge"/>
          <c:yMode val="edge"/>
          <c:x val="0.10802231983212895"/>
          <c:y val="0.87208905075790599"/>
          <c:w val="0.81695173707399693"/>
          <c:h val="0.12396351107577352"/>
        </c:manualLayout>
      </c:layout>
      <c:overlay val="0"/>
      <c:spPr>
        <a:noFill/>
        <a:ln w="24883">
          <a:noFill/>
        </a:ln>
      </c:spPr>
      <c:txPr>
        <a:bodyPr rot="0" spcFirstLastPara="1" vertOverflow="ellipsis" vert="horz" wrap="square" anchor="ctr" anchorCtr="1"/>
        <a:lstStyle/>
        <a:p>
          <a:pPr>
            <a:defRPr sz="686"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336"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1" b="0" i="0" u="none" strike="noStrike" kern="1200" spc="0" baseline="0">
                <a:solidFill>
                  <a:schemeClr val="tx1">
                    <a:lumMod val="65000"/>
                    <a:lumOff val="35000"/>
                  </a:schemeClr>
                </a:solidFill>
                <a:latin typeface="+mn-lt"/>
                <a:ea typeface="+mn-ea"/>
                <a:cs typeface="+mn-cs"/>
              </a:defRPr>
            </a:pPr>
            <a:r>
              <a:rPr lang="hu-HU" sz="1201" b="1">
                <a:solidFill>
                  <a:schemeClr val="tx1"/>
                </a:solidFill>
              </a:rPr>
              <a:t>Nyilvántartott álláskereső korcsoportok</a:t>
            </a:r>
            <a:r>
              <a:rPr lang="hu-HU" sz="1201" b="1" baseline="0">
                <a:solidFill>
                  <a:schemeClr val="tx1"/>
                </a:solidFill>
              </a:rPr>
              <a:t> szerint</a:t>
            </a:r>
            <a:endParaRPr lang="hu-HU" b="1" baseline="0">
              <a:solidFill>
                <a:schemeClr val="tx1"/>
              </a:solidFill>
            </a:endParaRPr>
          </a:p>
        </c:rich>
      </c:tx>
      <c:overlay val="0"/>
      <c:spPr>
        <a:noFill/>
        <a:ln w="25414">
          <a:noFill/>
        </a:ln>
      </c:spPr>
    </c:title>
    <c:autoTitleDeleted val="0"/>
    <c:view3D>
      <c:rotX val="15"/>
      <c:rotY val="20"/>
      <c:depthPercent val="100"/>
      <c:rAngAx val="0"/>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ndard"/>
        <c:varyColors val="0"/>
        <c:ser>
          <c:idx val="0"/>
          <c:order val="0"/>
          <c:tx>
            <c:strRef>
              <c:f>'3. Mélyszegények-Romák'!$J$4:$J$5</c:f>
              <c:strCache>
                <c:ptCount val="1"/>
                <c:pt idx="0">
                  <c:v>20 éves, vagy az alatti 
(TS 037)</c:v>
                </c:pt>
              </c:strCache>
            </c:strRef>
          </c:tx>
          <c:spPr>
            <a:solidFill>
              <a:srgbClr val="4472C4"/>
            </a:solidFill>
            <a:ln w="25414">
              <a:noFill/>
            </a:ln>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Mélyszegények-Romák'!$L$5:$Q$5</c:f>
              <c:numCache>
                <c:formatCode>#,000%</c:formatCode>
                <c:ptCount val="6"/>
                <c:pt idx="0">
                  <c:v>3.9473684210526314E-2</c:v>
                </c:pt>
                <c:pt idx="1">
                  <c:v>7.1942446043165464E-2</c:v>
                </c:pt>
                <c:pt idx="2">
                  <c:v>9.8039215686274508E-2</c:v>
                </c:pt>
                <c:pt idx="3">
                  <c:v>8.1818181818181818E-2</c:v>
                </c:pt>
                <c:pt idx="4">
                  <c:v>7.874015748031496E-2</c:v>
                </c:pt>
                <c:pt idx="5">
                  <c:v>0</c:v>
                </c:pt>
              </c:numCache>
            </c:numRef>
          </c:val>
          <c:extLst>
            <c:ext xmlns:c16="http://schemas.microsoft.com/office/drawing/2014/chart" uri="{C3380CC4-5D6E-409C-BE32-E72D297353CC}">
              <c16:uniqueId val="{00000000-B73A-4392-925A-DC75C3D215DF}"/>
            </c:ext>
          </c:extLst>
        </c:ser>
        <c:ser>
          <c:idx val="1"/>
          <c:order val="1"/>
          <c:tx>
            <c:strRef>
              <c:f>'3. Mélyszegények-Romák'!$J$6:$J$7</c:f>
              <c:strCache>
                <c:ptCount val="1"/>
                <c:pt idx="0">
                  <c:v>21-25 év (TS 038)</c:v>
                </c:pt>
              </c:strCache>
            </c:strRef>
          </c:tx>
          <c:spPr>
            <a:solidFill>
              <a:srgbClr val="ED7D31"/>
            </a:solidFill>
            <a:ln w="25414">
              <a:noFill/>
            </a:ln>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Mélyszegények-Romák'!$L$7:$Q$7</c:f>
              <c:numCache>
                <c:formatCode>#,000%</c:formatCode>
                <c:ptCount val="6"/>
                <c:pt idx="0">
                  <c:v>0.13815789473684212</c:v>
                </c:pt>
                <c:pt idx="1">
                  <c:v>0.12949640287769784</c:v>
                </c:pt>
                <c:pt idx="2">
                  <c:v>0.10784313725490197</c:v>
                </c:pt>
                <c:pt idx="3">
                  <c:v>0.11818181818181818</c:v>
                </c:pt>
                <c:pt idx="4">
                  <c:v>8.6614173228346455E-2</c:v>
                </c:pt>
                <c:pt idx="5">
                  <c:v>0</c:v>
                </c:pt>
              </c:numCache>
            </c:numRef>
          </c:val>
          <c:extLst>
            <c:ext xmlns:c16="http://schemas.microsoft.com/office/drawing/2014/chart" uri="{C3380CC4-5D6E-409C-BE32-E72D297353CC}">
              <c16:uniqueId val="{00000001-B73A-4392-925A-DC75C3D215DF}"/>
            </c:ext>
          </c:extLst>
        </c:ser>
        <c:ser>
          <c:idx val="2"/>
          <c:order val="2"/>
          <c:tx>
            <c:strRef>
              <c:f>'3. Mélyszegények-Romák'!$J$8:$J$9</c:f>
              <c:strCache>
                <c:ptCount val="1"/>
                <c:pt idx="0">
                  <c:v>26-30 év (TS 039)</c:v>
                </c:pt>
              </c:strCache>
            </c:strRef>
          </c:tx>
          <c:spPr>
            <a:solidFill>
              <a:srgbClr val="A5A5A5"/>
            </a:solidFill>
            <a:ln w="25414">
              <a:noFill/>
            </a:ln>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Mélyszegények-Romák'!$L$9:$Q$9</c:f>
              <c:numCache>
                <c:formatCode>#,000%</c:formatCode>
                <c:ptCount val="6"/>
                <c:pt idx="0">
                  <c:v>0.10526315789473684</c:v>
                </c:pt>
                <c:pt idx="1">
                  <c:v>7.9136690647482008E-2</c:v>
                </c:pt>
                <c:pt idx="2">
                  <c:v>0.11764705882352941</c:v>
                </c:pt>
                <c:pt idx="3">
                  <c:v>8.1818181818181818E-2</c:v>
                </c:pt>
                <c:pt idx="4">
                  <c:v>0.13385826771653545</c:v>
                </c:pt>
                <c:pt idx="5">
                  <c:v>0</c:v>
                </c:pt>
              </c:numCache>
            </c:numRef>
          </c:val>
          <c:extLst>
            <c:ext xmlns:c16="http://schemas.microsoft.com/office/drawing/2014/chart" uri="{C3380CC4-5D6E-409C-BE32-E72D297353CC}">
              <c16:uniqueId val="{00000002-B73A-4392-925A-DC75C3D215DF}"/>
            </c:ext>
          </c:extLst>
        </c:ser>
        <c:ser>
          <c:idx val="3"/>
          <c:order val="3"/>
          <c:tx>
            <c:strRef>
              <c:f>'3. Mélyszegények-Romák'!$J$10:$J$11</c:f>
              <c:strCache>
                <c:ptCount val="1"/>
                <c:pt idx="0">
                  <c:v>31-35 év (TS 040)</c:v>
                </c:pt>
              </c:strCache>
            </c:strRef>
          </c:tx>
          <c:spPr>
            <a:solidFill>
              <a:srgbClr val="FFC000"/>
            </a:solidFill>
            <a:ln w="25414">
              <a:noFill/>
            </a:ln>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Mélyszegények-Romák'!$L$11:$Q$11</c:f>
              <c:numCache>
                <c:formatCode>#,000%</c:formatCode>
                <c:ptCount val="6"/>
                <c:pt idx="0">
                  <c:v>9.2105263157894732E-2</c:v>
                </c:pt>
                <c:pt idx="1">
                  <c:v>0.1223021582733813</c:v>
                </c:pt>
                <c:pt idx="2">
                  <c:v>8.8235294117647065E-2</c:v>
                </c:pt>
                <c:pt idx="3">
                  <c:v>7.2727272727272724E-2</c:v>
                </c:pt>
                <c:pt idx="4">
                  <c:v>8.6614173228346455E-2</c:v>
                </c:pt>
                <c:pt idx="5">
                  <c:v>0</c:v>
                </c:pt>
              </c:numCache>
            </c:numRef>
          </c:val>
          <c:extLst>
            <c:ext xmlns:c16="http://schemas.microsoft.com/office/drawing/2014/chart" uri="{C3380CC4-5D6E-409C-BE32-E72D297353CC}">
              <c16:uniqueId val="{00000003-B73A-4392-925A-DC75C3D215DF}"/>
            </c:ext>
          </c:extLst>
        </c:ser>
        <c:ser>
          <c:idx val="4"/>
          <c:order val="4"/>
          <c:tx>
            <c:strRef>
              <c:f>'3. Mélyszegények-Romák'!$J$12:$J$13</c:f>
              <c:strCache>
                <c:ptCount val="1"/>
                <c:pt idx="0">
                  <c:v>36-40 év (TS 041)</c:v>
                </c:pt>
              </c:strCache>
            </c:strRef>
          </c:tx>
          <c:spPr>
            <a:solidFill>
              <a:srgbClr val="5B9BD5"/>
            </a:solidFill>
            <a:ln w="25414">
              <a:noFill/>
            </a:ln>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Mélyszegények-Romák'!$L$13:$Q$13</c:f>
              <c:numCache>
                <c:formatCode>#,000%</c:formatCode>
                <c:ptCount val="6"/>
                <c:pt idx="0">
                  <c:v>0.10526315789473684</c:v>
                </c:pt>
                <c:pt idx="1">
                  <c:v>0.1223021582733813</c:v>
                </c:pt>
                <c:pt idx="2">
                  <c:v>9.8039215686274508E-2</c:v>
                </c:pt>
                <c:pt idx="3">
                  <c:v>9.0909090909090912E-2</c:v>
                </c:pt>
                <c:pt idx="4">
                  <c:v>0.14173228346456693</c:v>
                </c:pt>
                <c:pt idx="5">
                  <c:v>0</c:v>
                </c:pt>
              </c:numCache>
            </c:numRef>
          </c:val>
          <c:extLst>
            <c:ext xmlns:c16="http://schemas.microsoft.com/office/drawing/2014/chart" uri="{C3380CC4-5D6E-409C-BE32-E72D297353CC}">
              <c16:uniqueId val="{00000004-B73A-4392-925A-DC75C3D215DF}"/>
            </c:ext>
          </c:extLst>
        </c:ser>
        <c:ser>
          <c:idx val="5"/>
          <c:order val="5"/>
          <c:tx>
            <c:strRef>
              <c:f>'3. Mélyszegények-Romák'!$J$14:$J$15</c:f>
              <c:strCache>
                <c:ptCount val="1"/>
                <c:pt idx="0">
                  <c:v>41-45 év (TS 042)</c:v>
                </c:pt>
              </c:strCache>
            </c:strRef>
          </c:tx>
          <c:spPr>
            <a:solidFill>
              <a:srgbClr val="70AD47"/>
            </a:solidFill>
            <a:ln w="25414">
              <a:noFill/>
            </a:ln>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Mélyszegények-Romák'!$L$15:$Q$15</c:f>
              <c:numCache>
                <c:formatCode>#,000%</c:formatCode>
                <c:ptCount val="6"/>
                <c:pt idx="0">
                  <c:v>8.5526315789473686E-2</c:v>
                </c:pt>
                <c:pt idx="1">
                  <c:v>0.12949640287769784</c:v>
                </c:pt>
                <c:pt idx="2">
                  <c:v>0.11764705882352941</c:v>
                </c:pt>
                <c:pt idx="3">
                  <c:v>0.1</c:v>
                </c:pt>
                <c:pt idx="4">
                  <c:v>7.0866141732283464E-2</c:v>
                </c:pt>
                <c:pt idx="5">
                  <c:v>0</c:v>
                </c:pt>
              </c:numCache>
            </c:numRef>
          </c:val>
          <c:extLst>
            <c:ext xmlns:c16="http://schemas.microsoft.com/office/drawing/2014/chart" uri="{C3380CC4-5D6E-409C-BE32-E72D297353CC}">
              <c16:uniqueId val="{00000005-B73A-4392-925A-DC75C3D215DF}"/>
            </c:ext>
          </c:extLst>
        </c:ser>
        <c:ser>
          <c:idx val="6"/>
          <c:order val="6"/>
          <c:tx>
            <c:strRef>
              <c:f>'3. Mélyszegények-Romák'!$J$16:$J$17</c:f>
              <c:strCache>
                <c:ptCount val="1"/>
                <c:pt idx="0">
                  <c:v>46-50 év (TS 043)</c:v>
                </c:pt>
              </c:strCache>
            </c:strRef>
          </c:tx>
          <c:spPr>
            <a:solidFill>
              <a:schemeClr val="accent1">
                <a:lumMod val="60000"/>
              </a:schemeClr>
            </a:solidFill>
            <a:ln>
              <a:noFill/>
            </a:ln>
            <a:effectLst/>
            <a:sp3d/>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Mélyszegények-Romák'!$L$17:$Q$17</c:f>
              <c:numCache>
                <c:formatCode>#,000%</c:formatCode>
                <c:ptCount val="6"/>
                <c:pt idx="0">
                  <c:v>0.13157894736842105</c:v>
                </c:pt>
                <c:pt idx="1">
                  <c:v>5.7553956834532377E-2</c:v>
                </c:pt>
                <c:pt idx="2">
                  <c:v>7.8431372549019607E-2</c:v>
                </c:pt>
                <c:pt idx="3">
                  <c:v>3.6363636363636362E-2</c:v>
                </c:pt>
                <c:pt idx="4">
                  <c:v>7.0866141732283464E-2</c:v>
                </c:pt>
                <c:pt idx="5">
                  <c:v>0</c:v>
                </c:pt>
              </c:numCache>
            </c:numRef>
          </c:val>
          <c:extLst>
            <c:ext xmlns:c16="http://schemas.microsoft.com/office/drawing/2014/chart" uri="{C3380CC4-5D6E-409C-BE32-E72D297353CC}">
              <c16:uniqueId val="{00000006-B73A-4392-925A-DC75C3D215DF}"/>
            </c:ext>
          </c:extLst>
        </c:ser>
        <c:ser>
          <c:idx val="7"/>
          <c:order val="7"/>
          <c:tx>
            <c:strRef>
              <c:f>'3. Mélyszegények-Romák'!$J$18:$J$19</c:f>
              <c:strCache>
                <c:ptCount val="1"/>
                <c:pt idx="0">
                  <c:v>51-55 év (TS 044)</c:v>
                </c:pt>
              </c:strCache>
            </c:strRef>
          </c:tx>
          <c:spPr>
            <a:solidFill>
              <a:schemeClr val="accent2">
                <a:lumMod val="60000"/>
              </a:schemeClr>
            </a:solidFill>
            <a:ln>
              <a:noFill/>
            </a:ln>
            <a:effectLst/>
            <a:sp3d/>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Mélyszegények-Romák'!$L$19:$Q$19</c:f>
              <c:numCache>
                <c:formatCode>#,000%</c:formatCode>
                <c:ptCount val="6"/>
                <c:pt idx="0">
                  <c:v>0.125</c:v>
                </c:pt>
                <c:pt idx="1">
                  <c:v>9.3525179856115109E-2</c:v>
                </c:pt>
                <c:pt idx="2">
                  <c:v>0.10784313725490197</c:v>
                </c:pt>
                <c:pt idx="3">
                  <c:v>0.10909090909090909</c:v>
                </c:pt>
                <c:pt idx="4">
                  <c:v>7.874015748031496E-2</c:v>
                </c:pt>
                <c:pt idx="5">
                  <c:v>0</c:v>
                </c:pt>
              </c:numCache>
            </c:numRef>
          </c:val>
          <c:extLst>
            <c:ext xmlns:c16="http://schemas.microsoft.com/office/drawing/2014/chart" uri="{C3380CC4-5D6E-409C-BE32-E72D297353CC}">
              <c16:uniqueId val="{00000007-B73A-4392-925A-DC75C3D215DF}"/>
            </c:ext>
          </c:extLst>
        </c:ser>
        <c:ser>
          <c:idx val="8"/>
          <c:order val="8"/>
          <c:tx>
            <c:strRef>
              <c:f>'3. Mélyszegények-Romák'!$J$20:$J$21</c:f>
              <c:strCache>
                <c:ptCount val="1"/>
                <c:pt idx="0">
                  <c:v>56-60 év (TS 045)</c:v>
                </c:pt>
              </c:strCache>
            </c:strRef>
          </c:tx>
          <c:spPr>
            <a:solidFill>
              <a:schemeClr val="accent3">
                <a:lumMod val="60000"/>
              </a:schemeClr>
            </a:solidFill>
            <a:ln>
              <a:noFill/>
            </a:ln>
            <a:effectLst/>
            <a:sp3d/>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Mélyszegények-Romák'!$L$21:$Q$21</c:f>
              <c:numCache>
                <c:formatCode>#,000%</c:formatCode>
                <c:ptCount val="6"/>
                <c:pt idx="0">
                  <c:v>0.1118421052631579</c:v>
                </c:pt>
                <c:pt idx="1">
                  <c:v>0.1223021582733813</c:v>
                </c:pt>
                <c:pt idx="2">
                  <c:v>9.8039215686274508E-2</c:v>
                </c:pt>
                <c:pt idx="3">
                  <c:v>0.14545454545454545</c:v>
                </c:pt>
                <c:pt idx="4">
                  <c:v>0.11023622047244094</c:v>
                </c:pt>
                <c:pt idx="5">
                  <c:v>0</c:v>
                </c:pt>
              </c:numCache>
            </c:numRef>
          </c:val>
          <c:extLst>
            <c:ext xmlns:c16="http://schemas.microsoft.com/office/drawing/2014/chart" uri="{C3380CC4-5D6E-409C-BE32-E72D297353CC}">
              <c16:uniqueId val="{00000008-B73A-4392-925A-DC75C3D215DF}"/>
            </c:ext>
          </c:extLst>
        </c:ser>
        <c:ser>
          <c:idx val="9"/>
          <c:order val="9"/>
          <c:tx>
            <c:strRef>
              <c:f>'3. Mélyszegények-Romák'!$J$22:$J$23</c:f>
              <c:strCache>
                <c:ptCount val="1"/>
                <c:pt idx="0">
                  <c:v>61 éves, vagy afeletti (TS 046)</c:v>
                </c:pt>
              </c:strCache>
            </c:strRef>
          </c:tx>
          <c:spPr>
            <a:solidFill>
              <a:schemeClr val="accent4">
                <a:lumMod val="60000"/>
              </a:schemeClr>
            </a:solidFill>
            <a:ln>
              <a:noFill/>
            </a:ln>
            <a:effectLst/>
            <a:sp3d/>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Mélyszegények-Romák'!$L$23:$Q$23</c:f>
              <c:numCache>
                <c:formatCode>#,000%</c:formatCode>
                <c:ptCount val="6"/>
                <c:pt idx="0">
                  <c:v>6.5789473684210523E-2</c:v>
                </c:pt>
                <c:pt idx="1">
                  <c:v>7.1942446043165464E-2</c:v>
                </c:pt>
                <c:pt idx="2">
                  <c:v>8.8235294117647065E-2</c:v>
                </c:pt>
                <c:pt idx="3">
                  <c:v>0.16363636363636364</c:v>
                </c:pt>
                <c:pt idx="4">
                  <c:v>0.14173228346456693</c:v>
                </c:pt>
                <c:pt idx="5">
                  <c:v>0</c:v>
                </c:pt>
              </c:numCache>
            </c:numRef>
          </c:val>
          <c:extLst>
            <c:ext xmlns:c16="http://schemas.microsoft.com/office/drawing/2014/chart" uri="{C3380CC4-5D6E-409C-BE32-E72D297353CC}">
              <c16:uniqueId val="{00000009-B73A-4392-925A-DC75C3D215DF}"/>
            </c:ext>
          </c:extLst>
        </c:ser>
        <c:dLbls>
          <c:showLegendKey val="0"/>
          <c:showVal val="0"/>
          <c:showCatName val="0"/>
          <c:showSerName val="0"/>
          <c:showPercent val="0"/>
          <c:showBubbleSize val="0"/>
        </c:dLbls>
        <c:gapWidth val="150"/>
        <c:shape val="box"/>
        <c:axId val="2095012079"/>
        <c:axId val="1"/>
        <c:axId val="2"/>
      </c:bar3DChart>
      <c:catAx>
        <c:axId val="2095012079"/>
        <c:scaling>
          <c:orientation val="minMax"/>
        </c:scaling>
        <c:delete val="0"/>
        <c:axPos val="b"/>
        <c:numFmt formatCode="General" sourceLinked="1"/>
        <c:majorTickMark val="none"/>
        <c:minorTickMark val="none"/>
        <c:tickLblPos val="nextTo"/>
        <c:spPr>
          <a:noFill/>
          <a:ln w="953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9530" cap="flat" cmpd="sng" algn="ctr">
              <a:solidFill>
                <a:schemeClr val="tx1">
                  <a:lumMod val="15000"/>
                  <a:lumOff val="85000"/>
                </a:schemeClr>
              </a:solidFill>
              <a:round/>
            </a:ln>
            <a:effectLst/>
          </c:spPr>
        </c:majorGridlines>
        <c:numFmt formatCode="#,000%" sourceLinked="1"/>
        <c:majorTickMark val="none"/>
        <c:minorTickMark val="none"/>
        <c:tickLblPos val="nextTo"/>
        <c:spPr>
          <a:ln w="6354">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095012079"/>
        <c:crosses val="autoZero"/>
        <c:crossBetween val="between"/>
      </c:valAx>
      <c:serAx>
        <c:axId val="2"/>
        <c:scaling>
          <c:orientation val="minMax"/>
        </c:scaling>
        <c:delete val="0"/>
        <c:axPos val="b"/>
        <c:numFmt formatCode="General" sourceLinked="1"/>
        <c:majorTickMark val="out"/>
        <c:minorTickMark val="none"/>
        <c:tickLblPos val="nextTo"/>
        <c:spPr>
          <a:ln w="6354">
            <a:noFill/>
          </a:ln>
        </c:spPr>
        <c:txPr>
          <a:bodyPr rot="0" vert="horz"/>
          <a:lstStyle/>
          <a:p>
            <a:pPr>
              <a:defRPr sz="900" b="0" i="0" u="none" strike="noStrike" baseline="0">
                <a:solidFill>
                  <a:srgbClr val="333333"/>
                </a:solidFill>
                <a:latin typeface="Calibri"/>
                <a:ea typeface="Calibri"/>
                <a:cs typeface="Calibri"/>
              </a:defRPr>
            </a:pPr>
            <a:endParaRPr lang="hu-HU"/>
          </a:p>
        </c:txPr>
        <c:crossAx val="1"/>
        <c:crosses val="autoZero"/>
        <c:tickLblSkip val="7"/>
        <c:tickMarkSkip val="1"/>
      </c:serAx>
      <c:spPr>
        <a:noFill/>
        <a:ln w="25414">
          <a:noFill/>
        </a:ln>
      </c:spPr>
    </c:plotArea>
    <c:legend>
      <c:legendPos val="b"/>
      <c:overlay val="0"/>
      <c:spPr>
        <a:noFill/>
        <a:ln w="25414">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30"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1" b="0" i="0" u="none" strike="noStrike" kern="1200" spc="0" baseline="0">
                <a:solidFill>
                  <a:schemeClr val="tx1">
                    <a:lumMod val="65000"/>
                    <a:lumOff val="35000"/>
                  </a:schemeClr>
                </a:solidFill>
                <a:latin typeface="+mn-lt"/>
                <a:ea typeface="+mn-ea"/>
                <a:cs typeface="+mn-cs"/>
              </a:defRPr>
            </a:pPr>
            <a:r>
              <a:rPr lang="hu-HU" sz="1201" b="1">
                <a:solidFill>
                  <a:schemeClr val="tx1"/>
                </a:solidFill>
              </a:rPr>
              <a:t>180 napnál</a:t>
            </a:r>
            <a:r>
              <a:rPr lang="hu-HU" sz="1201" b="1" baseline="0">
                <a:solidFill>
                  <a:schemeClr val="tx1"/>
                </a:solidFill>
              </a:rPr>
              <a:t> hosszab ideje álláskeresők</a:t>
            </a:r>
            <a:endParaRPr lang="hu-HU" sz="1200" b="1">
              <a:solidFill>
                <a:schemeClr val="tx1"/>
              </a:solidFill>
            </a:endParaRPr>
          </a:p>
        </c:rich>
      </c:tx>
      <c:overlay val="0"/>
      <c:spPr>
        <a:noFill/>
        <a:ln w="25391">
          <a:noFill/>
        </a:ln>
      </c:spPr>
    </c:title>
    <c:autoTitleDeleted val="0"/>
    <c:plotArea>
      <c:layout/>
      <c:barChart>
        <c:barDir val="bar"/>
        <c:grouping val="clustered"/>
        <c:varyColors val="0"/>
        <c:ser>
          <c:idx val="0"/>
          <c:order val="0"/>
          <c:tx>
            <c:v>180 napnál régebb óta regisztrált</c:v>
          </c:tx>
          <c:spPr>
            <a:solidFill>
              <a:srgbClr val="4472C4"/>
            </a:solidFill>
            <a:ln w="25391">
              <a:noFill/>
            </a:ln>
          </c:spPr>
          <c:invertIfNegative val="0"/>
          <c:cat>
            <c:numRef>
              <c:f>'3. Mélyszegények-Romák'!$S$5:$S$10</c:f>
              <c:numCache>
                <c:formatCode>General</c:formatCode>
                <c:ptCount val="6"/>
                <c:pt idx="0">
                  <c:v>2015</c:v>
                </c:pt>
                <c:pt idx="1">
                  <c:v>2016</c:v>
                </c:pt>
                <c:pt idx="2">
                  <c:v>2017</c:v>
                </c:pt>
                <c:pt idx="3">
                  <c:v>2018</c:v>
                </c:pt>
                <c:pt idx="4">
                  <c:v>2019</c:v>
                </c:pt>
                <c:pt idx="5">
                  <c:v>2020</c:v>
                </c:pt>
              </c:numCache>
            </c:numRef>
          </c:cat>
          <c:val>
            <c:numRef>
              <c:f>'3. Mélyszegények-Romák'!$T$5:$T$10</c:f>
              <c:numCache>
                <c:formatCode>#,000%</c:formatCode>
                <c:ptCount val="6"/>
                <c:pt idx="0">
                  <c:v>0.47370000000000001</c:v>
                </c:pt>
                <c:pt idx="1">
                  <c:v>0.35249999999999998</c:v>
                </c:pt>
                <c:pt idx="2">
                  <c:v>0.3725</c:v>
                </c:pt>
                <c:pt idx="3">
                  <c:v>0.38179999999999997</c:v>
                </c:pt>
                <c:pt idx="4">
                  <c:v>0.40939999999999999</c:v>
                </c:pt>
                <c:pt idx="5">
                  <c:v>0</c:v>
                </c:pt>
              </c:numCache>
            </c:numRef>
          </c:val>
          <c:extLst>
            <c:ext xmlns:c16="http://schemas.microsoft.com/office/drawing/2014/chart" uri="{C3380CC4-5D6E-409C-BE32-E72D297353CC}">
              <c16:uniqueId val="{00000000-11E5-486D-82B6-15CBB38DC0BC}"/>
            </c:ext>
          </c:extLst>
        </c:ser>
        <c:ser>
          <c:idx val="1"/>
          <c:order val="1"/>
          <c:tx>
            <c:v>Nők arénya a 180 napon túl regisztáltak között</c:v>
          </c:tx>
          <c:spPr>
            <a:solidFill>
              <a:srgbClr val="ED7D31"/>
            </a:solidFill>
            <a:ln w="25391">
              <a:noFill/>
            </a:ln>
          </c:spPr>
          <c:invertIfNegative val="0"/>
          <c:cat>
            <c:numRef>
              <c:f>'3. Mélyszegények-Romák'!$S$5:$S$10</c:f>
              <c:numCache>
                <c:formatCode>General</c:formatCode>
                <c:ptCount val="6"/>
                <c:pt idx="0">
                  <c:v>2015</c:v>
                </c:pt>
                <c:pt idx="1">
                  <c:v>2016</c:v>
                </c:pt>
                <c:pt idx="2">
                  <c:v>2017</c:v>
                </c:pt>
                <c:pt idx="3">
                  <c:v>2018</c:v>
                </c:pt>
                <c:pt idx="4">
                  <c:v>2019</c:v>
                </c:pt>
                <c:pt idx="5">
                  <c:v>2020</c:v>
                </c:pt>
              </c:numCache>
            </c:numRef>
          </c:cat>
          <c:val>
            <c:numRef>
              <c:f>'3. Mélyszegények-Romák'!$U$5:$U$10</c:f>
              <c:numCache>
                <c:formatCode>#,000%</c:formatCode>
                <c:ptCount val="6"/>
                <c:pt idx="0">
                  <c:v>0.73609999999999998</c:v>
                </c:pt>
                <c:pt idx="1">
                  <c:v>0.61219999999999997</c:v>
                </c:pt>
                <c:pt idx="2">
                  <c:v>0.65790000000000004</c:v>
                </c:pt>
                <c:pt idx="3">
                  <c:v>0.64290000000000003</c:v>
                </c:pt>
                <c:pt idx="4">
                  <c:v>0.48080000000000001</c:v>
                </c:pt>
                <c:pt idx="5">
                  <c:v>0</c:v>
                </c:pt>
              </c:numCache>
            </c:numRef>
          </c:val>
          <c:extLst>
            <c:ext xmlns:c16="http://schemas.microsoft.com/office/drawing/2014/chart" uri="{C3380CC4-5D6E-409C-BE32-E72D297353CC}">
              <c16:uniqueId val="{00000001-11E5-486D-82B6-15CBB38DC0BC}"/>
            </c:ext>
          </c:extLst>
        </c:ser>
        <c:dLbls>
          <c:showLegendKey val="0"/>
          <c:showVal val="0"/>
          <c:showCatName val="0"/>
          <c:showSerName val="0"/>
          <c:showPercent val="0"/>
          <c:showBubbleSize val="0"/>
        </c:dLbls>
        <c:gapWidth val="182"/>
        <c:axId val="2092005023"/>
        <c:axId val="1"/>
      </c:barChart>
      <c:catAx>
        <c:axId val="2092005023"/>
        <c:scaling>
          <c:orientation val="minMax"/>
        </c:scaling>
        <c:delete val="0"/>
        <c:axPos val="l"/>
        <c:numFmt formatCode="General" sourceLinked="1"/>
        <c:majorTickMark val="none"/>
        <c:minorTickMark val="none"/>
        <c:tickLblPos val="nextTo"/>
        <c:spPr>
          <a:noFill/>
          <a:ln w="952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b"/>
        <c:majorGridlines>
          <c:spPr>
            <a:ln w="9526" cap="flat" cmpd="sng" algn="ctr">
              <a:solidFill>
                <a:schemeClr val="tx1">
                  <a:lumMod val="15000"/>
                  <a:lumOff val="85000"/>
                </a:schemeClr>
              </a:solidFill>
              <a:round/>
            </a:ln>
            <a:effectLst/>
          </c:spPr>
        </c:majorGridlines>
        <c:numFmt formatCode="#,000%" sourceLinked="1"/>
        <c:majorTickMark val="none"/>
        <c:minorTickMark val="none"/>
        <c:tickLblPos val="nextTo"/>
        <c:spPr>
          <a:ln w="6348">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092005023"/>
        <c:crosses val="autoZero"/>
        <c:crossBetween val="between"/>
      </c:valAx>
      <c:spPr>
        <a:noFill/>
        <a:ln w="25391">
          <a:noFill/>
        </a:ln>
      </c:spPr>
    </c:plotArea>
    <c:legend>
      <c:legendPos val="b"/>
      <c:overlay val="0"/>
      <c:spPr>
        <a:noFill/>
        <a:ln w="2539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734932-22FC-4BE3-8C27-FC8971A56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168</Pages>
  <Words>41277</Words>
  <Characters>284818</Characters>
  <Application>Microsoft Office Word</Application>
  <DocSecurity>0</DocSecurity>
  <Lines>2373</Lines>
  <Paragraphs>650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325445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Klaudia</dc:creator>
  <cp:keywords/>
  <dc:description/>
  <cp:lastModifiedBy>Klaudia</cp:lastModifiedBy>
  <cp:revision>9</cp:revision>
  <dcterms:created xsi:type="dcterms:W3CDTF">2023-09-26T13:35:00Z</dcterms:created>
  <dcterms:modified xsi:type="dcterms:W3CDTF">2023-09-26T14:07:00Z</dcterms:modified>
</cp:coreProperties>
</file>